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148"/>
      </w:tblGrid>
      <w:tr w:rsidR="001446A7" w:rsidRPr="00E71EB4" w14:paraId="7F17D7F4" w14:textId="77777777" w:rsidTr="004A2E83">
        <w:tc>
          <w:tcPr>
            <w:tcW w:w="2803" w:type="dxa"/>
          </w:tcPr>
          <w:p w14:paraId="76408392" w14:textId="34187F25" w:rsidR="001446A7" w:rsidRPr="00E71EB4" w:rsidRDefault="001831A3" w:rsidP="002566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FC09741" wp14:editId="37725DF9">
                  <wp:extent cx="15621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</w:tcPr>
          <w:p w14:paraId="24046403" w14:textId="77777777" w:rsidR="001446A7" w:rsidRPr="00E71EB4" w:rsidRDefault="001446A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D9730" w14:textId="77777777" w:rsidR="001446A7" w:rsidRPr="00500A30" w:rsidRDefault="001446A7" w:rsidP="008F776B">
            <w:pPr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 w:rsidRPr="00500A30">
              <w:rPr>
                <w:rFonts w:ascii="Arial" w:hAnsi="Arial" w:cs="Arial"/>
                <w:b/>
                <w:sz w:val="40"/>
                <w:szCs w:val="40"/>
              </w:rPr>
              <w:t>Role Profile</w:t>
            </w:r>
          </w:p>
          <w:p w14:paraId="081DECF3" w14:textId="10DBC3F0" w:rsidR="001446A7" w:rsidRPr="00E71EB4" w:rsidRDefault="00500A30" w:rsidP="00086C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00A30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9E6768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1446A7" w:rsidRPr="00E71EB4" w14:paraId="2AB47F3F" w14:textId="77777777" w:rsidTr="004A2E83">
        <w:trPr>
          <w:trHeight w:val="20"/>
        </w:trPr>
        <w:tc>
          <w:tcPr>
            <w:tcW w:w="2803" w:type="dxa"/>
          </w:tcPr>
          <w:p w14:paraId="50C495E3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148" w:type="dxa"/>
          </w:tcPr>
          <w:p w14:paraId="20B7152F" w14:textId="689DDFA3" w:rsidR="001446A7" w:rsidRPr="00E71EB4" w:rsidRDefault="009E6768" w:rsidP="00BF4E6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</w:t>
            </w:r>
            <w:r w:rsidR="00F754BC">
              <w:rPr>
                <w:rFonts w:ascii="Arial" w:hAnsi="Arial" w:cs="Arial"/>
                <w:b/>
                <w:sz w:val="22"/>
                <w:szCs w:val="22"/>
              </w:rPr>
              <w:t>tomer Contact Adviser</w:t>
            </w:r>
            <w:r w:rsidR="002D68B1" w:rsidRPr="00E71E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446A7" w:rsidRPr="00E71EB4" w14:paraId="66A8C71F" w14:textId="77777777" w:rsidTr="004A2E83">
        <w:trPr>
          <w:trHeight w:val="20"/>
        </w:trPr>
        <w:tc>
          <w:tcPr>
            <w:tcW w:w="2803" w:type="dxa"/>
          </w:tcPr>
          <w:p w14:paraId="69825F30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Reports into:</w:t>
            </w:r>
          </w:p>
        </w:tc>
        <w:tc>
          <w:tcPr>
            <w:tcW w:w="7148" w:type="dxa"/>
          </w:tcPr>
          <w:p w14:paraId="498AA355" w14:textId="77777777" w:rsidR="001446A7" w:rsidRPr="00E71EB4" w:rsidRDefault="003D28F5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Senior Repairs Coordinator</w:t>
            </w:r>
          </w:p>
        </w:tc>
      </w:tr>
      <w:tr w:rsidR="001446A7" w:rsidRPr="00E71EB4" w14:paraId="449D6E6D" w14:textId="77777777" w:rsidTr="004A2E83">
        <w:trPr>
          <w:trHeight w:val="20"/>
        </w:trPr>
        <w:tc>
          <w:tcPr>
            <w:tcW w:w="2803" w:type="dxa"/>
          </w:tcPr>
          <w:p w14:paraId="73EBE8E5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Direct Reports:</w:t>
            </w:r>
          </w:p>
        </w:tc>
        <w:tc>
          <w:tcPr>
            <w:tcW w:w="7148" w:type="dxa"/>
            <w:vAlign w:val="center"/>
          </w:tcPr>
          <w:p w14:paraId="3C5283F7" w14:textId="77777777" w:rsidR="001446A7" w:rsidRPr="00E71EB4" w:rsidRDefault="001446A7" w:rsidP="00537337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446A7" w:rsidRPr="00E71EB4" w14:paraId="0E36E1D4" w14:textId="77777777" w:rsidTr="004A2E83">
        <w:trPr>
          <w:trHeight w:val="20"/>
        </w:trPr>
        <w:tc>
          <w:tcPr>
            <w:tcW w:w="2803" w:type="dxa"/>
          </w:tcPr>
          <w:p w14:paraId="66A22150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Department/ Location:</w:t>
            </w:r>
          </w:p>
        </w:tc>
        <w:tc>
          <w:tcPr>
            <w:tcW w:w="7148" w:type="dxa"/>
          </w:tcPr>
          <w:p w14:paraId="74E4F278" w14:textId="77777777" w:rsidR="001446A7" w:rsidRPr="00E71EB4" w:rsidRDefault="001446A7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Stockwell</w:t>
            </w:r>
          </w:p>
        </w:tc>
      </w:tr>
      <w:tr w:rsidR="001446A7" w:rsidRPr="00E71EB4" w14:paraId="25AB519F" w14:textId="77777777" w:rsidTr="004A2E83">
        <w:trPr>
          <w:trHeight w:val="20"/>
        </w:trPr>
        <w:tc>
          <w:tcPr>
            <w:tcW w:w="2803" w:type="dxa"/>
          </w:tcPr>
          <w:p w14:paraId="6A823BC8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Disclosure Level:</w:t>
            </w:r>
          </w:p>
        </w:tc>
        <w:tc>
          <w:tcPr>
            <w:tcW w:w="7148" w:type="dxa"/>
          </w:tcPr>
          <w:p w14:paraId="213C6996" w14:textId="77777777" w:rsidR="001446A7" w:rsidRPr="00E71EB4" w:rsidRDefault="00AF0D90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Basic</w:t>
            </w:r>
          </w:p>
        </w:tc>
      </w:tr>
      <w:tr w:rsidR="00ED2B08" w:rsidRPr="00E71EB4" w14:paraId="53453048" w14:textId="77777777" w:rsidTr="004A2E83">
        <w:trPr>
          <w:trHeight w:val="20"/>
        </w:trPr>
        <w:tc>
          <w:tcPr>
            <w:tcW w:w="2803" w:type="dxa"/>
          </w:tcPr>
          <w:p w14:paraId="38670818" w14:textId="77777777" w:rsidR="00ED2B08" w:rsidRPr="00E71EB4" w:rsidRDefault="003279A9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Candidate Overview</w:t>
            </w:r>
          </w:p>
        </w:tc>
        <w:tc>
          <w:tcPr>
            <w:tcW w:w="7148" w:type="dxa"/>
          </w:tcPr>
          <w:p w14:paraId="63AE578F" w14:textId="77777777" w:rsidR="00CE4204" w:rsidRPr="00E71EB4" w:rsidRDefault="00CE4204" w:rsidP="00CE4204">
            <w:pPr>
              <w:pStyle w:val="TableParagraph"/>
              <w:tabs>
                <w:tab w:val="left" w:pos="828"/>
                <w:tab w:val="left" w:pos="829"/>
              </w:tabs>
              <w:ind w:right="94"/>
            </w:pPr>
            <w:r w:rsidRPr="00CE4204">
              <w:t>A confident, customer-focused individual responsible for supporting the day-to-day running of the Repairs Service. The postholder will handle high-volume calls, log repairs accurately, progress jobs with contractors, manage inboxes and support the wider Property Services team.</w:t>
            </w:r>
          </w:p>
          <w:p w14:paraId="3261F6CC" w14:textId="77777777" w:rsidR="00CE4204" w:rsidRPr="00CE4204" w:rsidRDefault="00CE4204" w:rsidP="00CE4204">
            <w:pPr>
              <w:pStyle w:val="TableParagraph"/>
              <w:tabs>
                <w:tab w:val="left" w:pos="828"/>
                <w:tab w:val="left" w:pos="829"/>
              </w:tabs>
              <w:ind w:right="94"/>
            </w:pPr>
            <w:r w:rsidRPr="00CE4204">
              <w:br/>
              <w:t>They will work patch-based, taking ownership of repairs within their allocated area to provide consistent and reliable service to residents.</w:t>
            </w:r>
            <w:r w:rsidRPr="00CE4204">
              <w:br/>
              <w:t>This is a fast-paced, frontline role requiring strong organisation, excellent communication skills and a calm, solution-driven approach.</w:t>
            </w:r>
          </w:p>
          <w:p w14:paraId="7345AE86" w14:textId="77777777" w:rsidR="00ED2B08" w:rsidRPr="00E71EB4" w:rsidRDefault="00ED2B08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6A7" w:rsidRPr="00E71EB4" w14:paraId="567B0A08" w14:textId="77777777" w:rsidTr="003279A9">
        <w:trPr>
          <w:trHeight w:val="1613"/>
        </w:trPr>
        <w:tc>
          <w:tcPr>
            <w:tcW w:w="2803" w:type="dxa"/>
          </w:tcPr>
          <w:p w14:paraId="205A1FB0" w14:textId="77777777" w:rsidR="001446A7" w:rsidRPr="00E71EB4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148" w:type="dxa"/>
          </w:tcPr>
          <w:p w14:paraId="688556DB" w14:textId="77777777" w:rsidR="0002668E" w:rsidRPr="0002668E" w:rsidRDefault="0002668E" w:rsidP="0002668E">
            <w:pPr>
              <w:pStyle w:val="Header"/>
              <w:suppressAutoHyphens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52C">
              <w:rPr>
                <w:rFonts w:ascii="Arial" w:hAnsi="Arial" w:cs="Arial"/>
                <w:sz w:val="22"/>
                <w:szCs w:val="22"/>
              </w:rPr>
              <w:t xml:space="preserve">The Customer Contact Adviser is a frontline repairs role with </w:t>
            </w:r>
            <w:r w:rsidRPr="008A4451">
              <w:rPr>
                <w:rFonts w:ascii="Arial" w:hAnsi="Arial" w:cs="Arial"/>
                <w:sz w:val="22"/>
                <w:szCs w:val="22"/>
              </w:rPr>
              <w:t>enhanced responsibility for follow-on actions, work-in-progress (WIP) control and customer outcomes</w:t>
            </w:r>
            <w:r w:rsidRPr="000266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61F516" w14:textId="77777777" w:rsidR="0002668E" w:rsidRPr="0002668E" w:rsidRDefault="0002668E" w:rsidP="0002668E">
            <w:pPr>
              <w:pStyle w:val="Header"/>
              <w:suppressAutoHyphens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668E">
              <w:rPr>
                <w:rFonts w:ascii="Arial" w:hAnsi="Arial" w:cs="Arial"/>
                <w:sz w:val="22"/>
                <w:szCs w:val="22"/>
              </w:rPr>
              <w:t xml:space="preserve">While the postholder will remain the </w:t>
            </w:r>
            <w:r w:rsidRPr="008A4451">
              <w:rPr>
                <w:rFonts w:ascii="Arial" w:hAnsi="Arial" w:cs="Arial"/>
                <w:sz w:val="22"/>
                <w:szCs w:val="22"/>
              </w:rPr>
              <w:t>first point of contact</w:t>
            </w:r>
            <w:r w:rsidRPr="0002668E">
              <w:rPr>
                <w:rFonts w:ascii="Arial" w:hAnsi="Arial" w:cs="Arial"/>
                <w:sz w:val="22"/>
                <w:szCs w:val="22"/>
              </w:rPr>
              <w:t xml:space="preserve"> for residents—taking calls, raising repairs and managing enquiries in line with established Repairs Assistant processes—this role is differentiated by taking </w:t>
            </w:r>
            <w:r w:rsidRPr="008A4451">
              <w:rPr>
                <w:rFonts w:ascii="Arial" w:hAnsi="Arial" w:cs="Arial"/>
                <w:sz w:val="22"/>
                <w:szCs w:val="22"/>
              </w:rPr>
              <w:t>active ownership of repairs beyond the initial logging stage</w:t>
            </w:r>
            <w:r w:rsidRPr="000266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7E5B22" w14:textId="3E7438C1" w:rsidR="001446A7" w:rsidRPr="0002668E" w:rsidRDefault="0002668E" w:rsidP="003E5D70">
            <w:pPr>
              <w:pStyle w:val="Header"/>
              <w:suppressAutoHyphens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668E">
              <w:rPr>
                <w:rFonts w:ascii="Arial" w:hAnsi="Arial" w:cs="Arial"/>
                <w:sz w:val="22"/>
                <w:szCs w:val="22"/>
              </w:rPr>
              <w:t>The postholder is responsible for ensuring follow-on works are raised, repairs are progressed, overdue jobs are actively chased, residents are kept informed, and customer satisfaction feedback is captured. The role plays a key part in improving grip on repairs delivery, reducing backlog and improving communication.</w:t>
            </w:r>
          </w:p>
        </w:tc>
      </w:tr>
      <w:tr w:rsidR="003841B7" w:rsidRPr="00E71EB4" w14:paraId="394D7872" w14:textId="77777777" w:rsidTr="00A261DD">
        <w:tc>
          <w:tcPr>
            <w:tcW w:w="9951" w:type="dxa"/>
            <w:gridSpan w:val="2"/>
          </w:tcPr>
          <w:p w14:paraId="493CB736" w14:textId="77777777" w:rsidR="003841B7" w:rsidRPr="00E71EB4" w:rsidRDefault="003841B7" w:rsidP="003841B7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Key accountabilities</w:t>
            </w:r>
          </w:p>
        </w:tc>
      </w:tr>
      <w:tr w:rsidR="003841B7" w:rsidRPr="00E71EB4" w14:paraId="1083B242" w14:textId="77777777" w:rsidTr="00A261DD">
        <w:tc>
          <w:tcPr>
            <w:tcW w:w="9951" w:type="dxa"/>
            <w:gridSpan w:val="2"/>
          </w:tcPr>
          <w:p w14:paraId="7461EECE" w14:textId="5928CAAB" w:rsidR="0002668E" w:rsidRPr="0002668E" w:rsidRDefault="0002668E" w:rsidP="0002668E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68E">
              <w:rPr>
                <w:rFonts w:ascii="Arial" w:hAnsi="Arial" w:cs="Arial"/>
                <w:b/>
                <w:bCs/>
                <w:sz w:val="22"/>
                <w:szCs w:val="22"/>
              </w:rPr>
              <w:t>First Point of Contact &amp; Repairs Logging</w:t>
            </w:r>
          </w:p>
          <w:p w14:paraId="6C1341A1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Act as the first point of contact for residents reporting repairs via phone, email, 8x8/WhatsApp, Teams and in person</w:t>
            </w:r>
          </w:p>
          <w:p w14:paraId="39C9B3CD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Accurately diagnose and raise repairs in NEC using correct priorities, descriptions, SORs and contractor allocation</w:t>
            </w:r>
          </w:p>
          <w:p w14:paraId="0A03921F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Provide clear advice to residents on next steps, access requirements and expected timescales</w:t>
            </w:r>
          </w:p>
          <w:p w14:paraId="46097026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Record all interactions accurately in NEC for audit, complaints and case history</w:t>
            </w:r>
          </w:p>
          <w:p w14:paraId="7320472E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Manage high call volumes while maintaining accuracy, professionalism and empathy</w:t>
            </w:r>
          </w:p>
          <w:p w14:paraId="3857A6B3" w14:textId="77777777" w:rsidR="0002668E" w:rsidRPr="008A4451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Support vulnerable residents by adapting communication and escalating concerns where required</w:t>
            </w:r>
          </w:p>
          <w:p w14:paraId="252D4EB7" w14:textId="77777777" w:rsidR="00EB3435" w:rsidRPr="00EB3435" w:rsidRDefault="00EB3435" w:rsidP="00061AC9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1193B30" w14:textId="77777777" w:rsidR="0002668E" w:rsidRPr="008A4451" w:rsidRDefault="0002668E" w:rsidP="0002668E">
            <w:pPr>
              <w:pStyle w:val="Heading3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8A44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Follow-On Works Ownership (Core Focus of the Role)</w:t>
            </w:r>
          </w:p>
          <w:p w14:paraId="200078A1" w14:textId="77777777" w:rsidR="0002668E" w:rsidRDefault="0002668E" w:rsidP="0002668E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Take ownership of all follow-on actions arising from inspections, contractor attendance or incomplete repairs</w:t>
            </w:r>
          </w:p>
          <w:p w14:paraId="6E60BE60" w14:textId="77777777" w:rsidR="0002668E" w:rsidRDefault="0002668E" w:rsidP="0002668E">
            <w:p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74F15334" w14:textId="77777777" w:rsidR="0002668E" w:rsidRPr="008A4451" w:rsidRDefault="0002668E" w:rsidP="008A4451">
            <w:p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4D208A4F" w14:textId="77777777" w:rsidR="0002668E" w:rsidRPr="008A4451" w:rsidRDefault="0002668E" w:rsidP="008A4451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lastRenderedPageBreak/>
              <w:t>Ensure additional works, variations or further repairs are raised promptly and correctly</w:t>
            </w:r>
          </w:p>
          <w:p w14:paraId="7466E006" w14:textId="77777777" w:rsidR="0002668E" w:rsidRPr="008A4451" w:rsidRDefault="0002668E" w:rsidP="008A4451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Review contractor updates and inspection outcomes to confirm required works are not missed</w:t>
            </w:r>
          </w:p>
          <w:p w14:paraId="29AD3287" w14:textId="77777777" w:rsidR="0002668E" w:rsidRPr="008A4451" w:rsidRDefault="0002668E" w:rsidP="008A4451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Proactively chase follow-on works to prevent jobs stalling or becoming overdue</w:t>
            </w:r>
          </w:p>
          <w:p w14:paraId="747831B1" w14:textId="77777777" w:rsidR="0002668E" w:rsidRPr="008A4451" w:rsidRDefault="0002668E" w:rsidP="008A4451">
            <w:pPr>
              <w:numPr>
                <w:ilvl w:val="0"/>
                <w:numId w:val="1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Act as a consistent point of contact for residents where multiple visits or follow-on works are required</w:t>
            </w:r>
          </w:p>
          <w:p w14:paraId="798175E5" w14:textId="5140CEE6" w:rsidR="00C7357D" w:rsidRPr="00EB3435" w:rsidRDefault="00C7357D" w:rsidP="008A4451">
            <w:pPr>
              <w:spacing w:line="300" w:lineRule="atLeas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4FA7451" w14:textId="77777777" w:rsidR="004D5755" w:rsidRPr="004D5755" w:rsidRDefault="004D5755" w:rsidP="008A4451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755">
              <w:rPr>
                <w:rFonts w:ascii="Arial" w:hAnsi="Arial" w:cs="Arial"/>
                <w:b/>
                <w:bCs/>
                <w:sz w:val="22"/>
                <w:szCs w:val="22"/>
              </w:rPr>
              <w:t>Work-In-Progress (WIP) Ownership, Reporting &amp; Delivery Control</w:t>
            </w:r>
          </w:p>
          <w:p w14:paraId="774D3CD6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Take end-to-end ownership of repairs WIP within allocated patches, ensuring all jobs are actively progressed, updated and not left to stall</w:t>
            </w:r>
          </w:p>
          <w:p w14:paraId="6923CFC8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Maintain accurate, up-to-date records in NEC, ensuring job status, notes, actions and ownership are clearly recorded and audit-ready</w:t>
            </w:r>
          </w:p>
          <w:p w14:paraId="1DE7172E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Proactively identify repairs at risk of delay or becoming overdue and take early action to prevent service failure</w:t>
            </w:r>
          </w:p>
          <w:p w14:paraId="45710C4A" w14:textId="051C15A5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Act as the coordination point for follow-on works, variations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sign off</w:t>
            </w:r>
            <w:r w:rsidRPr="008A4451">
              <w:rPr>
                <w:rFonts w:ascii="Arial" w:hAnsi="Arial" w:cs="Arial"/>
                <w:sz w:val="22"/>
                <w:szCs w:val="22"/>
              </w:rPr>
              <w:t xml:space="preserve"> and additional repairs, ensuring these are raised, tracked and escalated promptly to the appropriate manager for decision</w:t>
            </w:r>
          </w:p>
          <w:p w14:paraId="1CF13ECA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Prevent delays caused by outstanding quotes or variations by monitoring progress and ensuring timely instruction is issued to contractors once decisions are made</w:t>
            </w:r>
          </w:p>
          <w:p w14:paraId="6E027EEE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Ensure contractors are consistently updated on approvals, changes and next steps to support smooth delivery on site</w:t>
            </w:r>
          </w:p>
          <w:p w14:paraId="70CC6F76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Produce weekly and/or monthly WIP summaries for the Operations Manager and Senior Repairs Coordinator, highlighting:</w:t>
            </w:r>
          </w:p>
          <w:p w14:paraId="6DDCFD92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Overdue and aging jobs</w:t>
            </w:r>
          </w:p>
          <w:p w14:paraId="51F8C60B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Repairs awaiting contractor action</w:t>
            </w:r>
          </w:p>
          <w:p w14:paraId="4FD28583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Repairs awaiting internal approval or instruction</w:t>
            </w:r>
          </w:p>
          <w:p w14:paraId="5A58D38C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Key risks, repeat issues or emerging trends</w:t>
            </w:r>
          </w:p>
          <w:p w14:paraId="1CB87D59" w14:textId="77777777" w:rsidR="004D5755" w:rsidRPr="008A4451" w:rsidRDefault="004D5755" w:rsidP="008A4451">
            <w:pPr>
              <w:pStyle w:val="ListParagraph"/>
              <w:numPr>
                <w:ilvl w:val="0"/>
                <w:numId w:val="33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Escalate stalled jobs, repeat failures or high-risk cases in line with procedures, providing clear information to support timely management decisions</w:t>
            </w:r>
          </w:p>
          <w:p w14:paraId="18390F32" w14:textId="3E4E33E8" w:rsidR="00C7357D" w:rsidRPr="004D5755" w:rsidRDefault="00C7357D" w:rsidP="008A4451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1FCE9D3C" w14:textId="77777777" w:rsidR="004D5755" w:rsidRPr="004D5755" w:rsidRDefault="004D5755" w:rsidP="004D5755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755">
              <w:rPr>
                <w:rFonts w:ascii="Arial" w:hAnsi="Arial" w:cs="Arial"/>
                <w:b/>
                <w:bCs/>
                <w:sz w:val="22"/>
                <w:szCs w:val="22"/>
              </w:rPr>
              <w:t>Resident Communication &amp; Case Ownership</w:t>
            </w:r>
          </w:p>
          <w:p w14:paraId="5472C24A" w14:textId="77777777" w:rsidR="004D5755" w:rsidRPr="008A4451" w:rsidRDefault="004D5755" w:rsidP="004D5755">
            <w:pPr>
              <w:numPr>
                <w:ilvl w:val="0"/>
                <w:numId w:val="2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Keep residents informed throughout the full repairs journey, particularly where follow-on works are required</w:t>
            </w:r>
          </w:p>
          <w:p w14:paraId="51947343" w14:textId="77777777" w:rsidR="004D5755" w:rsidRPr="008A4451" w:rsidRDefault="004D5755" w:rsidP="004D5755">
            <w:pPr>
              <w:numPr>
                <w:ilvl w:val="0"/>
                <w:numId w:val="2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Proactively update residents on delays, changes or next steps</w:t>
            </w:r>
          </w:p>
          <w:p w14:paraId="4716BE23" w14:textId="77777777" w:rsidR="004D5755" w:rsidRPr="008A4451" w:rsidRDefault="004D5755" w:rsidP="004D5755">
            <w:pPr>
              <w:numPr>
                <w:ilvl w:val="0"/>
                <w:numId w:val="2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Resolve routine issues such as missed appointments, access problems and re-bookings</w:t>
            </w:r>
          </w:p>
          <w:p w14:paraId="4E8914AA" w14:textId="77777777" w:rsidR="004D5755" w:rsidRPr="008A4451" w:rsidRDefault="004D5755" w:rsidP="004D5755">
            <w:pPr>
              <w:numPr>
                <w:ilvl w:val="0"/>
                <w:numId w:val="2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Escalate repeat failures, high-risk cases or potential complaints appropriately</w:t>
            </w:r>
          </w:p>
          <w:p w14:paraId="7BEA9053" w14:textId="77777777" w:rsidR="004D5755" w:rsidRPr="008A4451" w:rsidRDefault="004D5755" w:rsidP="004D5755">
            <w:pPr>
              <w:numPr>
                <w:ilvl w:val="0"/>
                <w:numId w:val="26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A4451">
              <w:rPr>
                <w:rFonts w:ascii="Arial" w:hAnsi="Arial" w:cs="Arial"/>
                <w:sz w:val="22"/>
                <w:szCs w:val="22"/>
              </w:rPr>
              <w:t>Ensure communication is consistent, clear and recorded in NEC</w:t>
            </w:r>
          </w:p>
          <w:p w14:paraId="40345E7A" w14:textId="592A29C4" w:rsidR="00C7357D" w:rsidRPr="00EB3435" w:rsidRDefault="00C7357D" w:rsidP="00061AC9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7A6376B" w14:textId="2665F912" w:rsidR="004D5755" w:rsidRPr="004D5755" w:rsidRDefault="004D5755" w:rsidP="004D5755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4D5755">
              <w:rPr>
                <w:rFonts w:ascii="Arial" w:hAnsi="Arial" w:cs="Arial"/>
                <w:b/>
                <w:bCs/>
                <w:sz w:val="22"/>
                <w:szCs w:val="22"/>
              </w:rPr>
              <w:t>ustomer Satisfaction &amp; Feedback</w:t>
            </w:r>
          </w:p>
          <w:p w14:paraId="2EA8C6DC" w14:textId="77777777" w:rsidR="004D5755" w:rsidRPr="004D5755" w:rsidRDefault="004D5755" w:rsidP="004D5755">
            <w:pPr>
              <w:numPr>
                <w:ilvl w:val="0"/>
                <w:numId w:val="27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Pr="008A4451">
              <w:rPr>
                <w:rFonts w:ascii="Arial" w:hAnsi="Arial" w:cs="Arial"/>
                <w:sz w:val="22"/>
                <w:szCs w:val="22"/>
              </w:rPr>
              <w:t>customer satisfaction surveys on a minimum of 10% of completed repairs</w:t>
            </w:r>
          </w:p>
          <w:p w14:paraId="1BE1A83C" w14:textId="77777777" w:rsidR="004D5755" w:rsidRPr="004D5755" w:rsidRDefault="004D5755" w:rsidP="004D5755">
            <w:pPr>
              <w:numPr>
                <w:ilvl w:val="0"/>
                <w:numId w:val="27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Record feedback accurately and escalate negative feedback or service failures</w:t>
            </w:r>
          </w:p>
          <w:p w14:paraId="3AFFD61F" w14:textId="77777777" w:rsidR="004D5755" w:rsidRPr="004D5755" w:rsidRDefault="004D5755" w:rsidP="004D5755">
            <w:pPr>
              <w:numPr>
                <w:ilvl w:val="0"/>
                <w:numId w:val="27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Identify common themes from customer feedback and highlight service improvement opportunities</w:t>
            </w:r>
          </w:p>
          <w:p w14:paraId="03C63251" w14:textId="77777777" w:rsidR="004D5755" w:rsidRPr="004D5755" w:rsidRDefault="004D5755" w:rsidP="004D5755">
            <w:pPr>
              <w:numPr>
                <w:ilvl w:val="0"/>
                <w:numId w:val="27"/>
              </w:numPr>
              <w:spacing w:line="300" w:lineRule="atLeas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Support improvements in resident communication and customer experience</w:t>
            </w:r>
          </w:p>
          <w:p w14:paraId="0E47796A" w14:textId="41911FEA" w:rsidR="00C7357D" w:rsidRPr="00EB3435" w:rsidRDefault="00C7357D" w:rsidP="00061AC9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70994A6" w14:textId="77777777" w:rsidR="00C7357D" w:rsidRPr="00EB3435" w:rsidRDefault="00C7357D" w:rsidP="00EB3435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3435">
              <w:rPr>
                <w:rFonts w:ascii="Arial" w:hAnsi="Arial" w:cs="Arial"/>
                <w:b/>
                <w:bCs/>
                <w:sz w:val="22"/>
                <w:szCs w:val="22"/>
              </w:rPr>
              <w:t>Insite Administration &amp; Evidence Handling</w:t>
            </w:r>
          </w:p>
          <w:p w14:paraId="75988688" w14:textId="77777777" w:rsidR="00C7357D" w:rsidRPr="00EB3435" w:rsidRDefault="00C7357D" w:rsidP="0002668E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B3435">
              <w:rPr>
                <w:rFonts w:ascii="Arial" w:hAnsi="Arial" w:cs="Arial"/>
                <w:sz w:val="22"/>
                <w:szCs w:val="22"/>
              </w:rPr>
              <w:t>Review and action Insite inspection reports and ensure staff raise required works within SLA timeframes.</w:t>
            </w:r>
          </w:p>
          <w:p w14:paraId="776E14A0" w14:textId="77777777" w:rsidR="00C7357D" w:rsidRPr="00EB3435" w:rsidRDefault="00C7357D" w:rsidP="0002668E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B3435">
              <w:rPr>
                <w:rFonts w:ascii="Arial" w:hAnsi="Arial" w:cs="Arial"/>
                <w:sz w:val="22"/>
                <w:szCs w:val="22"/>
              </w:rPr>
              <w:t>Chase and escalate quotes or work variations for approval by the Line Manager or Head of Service.</w:t>
            </w:r>
          </w:p>
          <w:p w14:paraId="551A3CD4" w14:textId="77777777" w:rsidR="00C7357D" w:rsidRPr="00EB3435" w:rsidRDefault="00C7357D" w:rsidP="0002668E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B3435">
              <w:rPr>
                <w:rFonts w:ascii="Arial" w:hAnsi="Arial" w:cs="Arial"/>
                <w:sz w:val="22"/>
                <w:szCs w:val="22"/>
              </w:rPr>
              <w:t>Raise purchase orders via P2P for Insite Energy and Dulux decoration vouchers as required.</w:t>
            </w:r>
          </w:p>
          <w:p w14:paraId="2DEA7B39" w14:textId="77777777" w:rsidR="004D5755" w:rsidRDefault="004D5755" w:rsidP="004D5755">
            <w:pPr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DF7F03" w14:textId="0D7A7516" w:rsidR="004D5755" w:rsidRPr="004D5755" w:rsidRDefault="004D5755" w:rsidP="004D5755">
            <w:pPr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75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Contractor &amp; Internal Liaison</w:t>
            </w:r>
          </w:p>
          <w:p w14:paraId="231842E6" w14:textId="77777777" w:rsidR="004D5755" w:rsidRPr="004D5755" w:rsidRDefault="004D5755" w:rsidP="004D5755">
            <w:pPr>
              <w:numPr>
                <w:ilvl w:val="0"/>
                <w:numId w:val="28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Act as a key liaison between residents, contractors and internal teams</w:t>
            </w:r>
          </w:p>
          <w:p w14:paraId="74CB3CDB" w14:textId="77777777" w:rsidR="004D5755" w:rsidRPr="004D5755" w:rsidRDefault="004D5755" w:rsidP="004D5755">
            <w:pPr>
              <w:numPr>
                <w:ilvl w:val="0"/>
                <w:numId w:val="28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Chase contractor responses, outstanding actions and confirmations</w:t>
            </w:r>
          </w:p>
          <w:p w14:paraId="33EA8C74" w14:textId="77777777" w:rsidR="004D5755" w:rsidRPr="004D5755" w:rsidRDefault="004D5755" w:rsidP="004D5755">
            <w:pPr>
              <w:numPr>
                <w:ilvl w:val="0"/>
                <w:numId w:val="28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Support the Senior Repairs Coordinator and Surveyors with updates, evidence and case progression</w:t>
            </w:r>
          </w:p>
          <w:p w14:paraId="5176D53C" w14:textId="45EC0925" w:rsidR="004D5755" w:rsidRDefault="004D5755" w:rsidP="004D5755">
            <w:pPr>
              <w:numPr>
                <w:ilvl w:val="0"/>
                <w:numId w:val="28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Assist with complaint responses, MP enquiries and service investigations relating to repairs</w:t>
            </w:r>
          </w:p>
          <w:p w14:paraId="0EFD8B77" w14:textId="77777777" w:rsidR="004D5755" w:rsidRDefault="004D5755" w:rsidP="004D5755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DD76EE0" w14:textId="77777777" w:rsidR="004D5755" w:rsidRPr="004D5755" w:rsidRDefault="004D5755" w:rsidP="004D5755">
            <w:pPr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755">
              <w:rPr>
                <w:rFonts w:ascii="Arial" w:hAnsi="Arial" w:cs="Arial"/>
                <w:b/>
                <w:bCs/>
                <w:sz w:val="22"/>
                <w:szCs w:val="22"/>
              </w:rPr>
              <w:t>Variations, Quotes &amp; Escalation Control</w:t>
            </w:r>
          </w:p>
          <w:p w14:paraId="6CC54989" w14:textId="77777777" w:rsidR="004D5755" w:rsidRPr="004D5755" w:rsidRDefault="004D5755" w:rsidP="004D5755">
            <w:pPr>
              <w:numPr>
                <w:ilvl w:val="0"/>
                <w:numId w:val="3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Monitor all repair variations and follow-on quotes to ensure they are logged, tracked and progressed</w:t>
            </w:r>
          </w:p>
          <w:p w14:paraId="67A2F584" w14:textId="77777777" w:rsidR="004D5755" w:rsidRPr="004D5755" w:rsidRDefault="004D5755" w:rsidP="004D5755">
            <w:pPr>
              <w:numPr>
                <w:ilvl w:val="0"/>
                <w:numId w:val="3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Identify variations or quotes that are causing delays and escalate promptly to the appropriate manager for decision</w:t>
            </w:r>
          </w:p>
          <w:p w14:paraId="71B1C6C1" w14:textId="77777777" w:rsidR="004D5755" w:rsidRPr="004D5755" w:rsidRDefault="004D5755" w:rsidP="004D5755">
            <w:pPr>
              <w:numPr>
                <w:ilvl w:val="0"/>
                <w:numId w:val="3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Ensure contractors receive timely instruction once variations or approvals are agreed</w:t>
            </w:r>
          </w:p>
          <w:p w14:paraId="4C22D957" w14:textId="77777777" w:rsidR="004D5755" w:rsidRPr="004D5755" w:rsidRDefault="004D5755" w:rsidP="004D5755">
            <w:pPr>
              <w:numPr>
                <w:ilvl w:val="0"/>
                <w:numId w:val="3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Act as the coordination point between contractors and management to prevent jobs stalling due to lack of instruction</w:t>
            </w:r>
          </w:p>
          <w:p w14:paraId="6FF8C8ED" w14:textId="77777777" w:rsidR="004D5755" w:rsidRPr="004D5755" w:rsidRDefault="004D5755" w:rsidP="004D5755">
            <w:pPr>
              <w:numPr>
                <w:ilvl w:val="0"/>
                <w:numId w:val="3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Track outstanding variations and follow up regularly until resolved</w:t>
            </w:r>
          </w:p>
          <w:p w14:paraId="1793616F" w14:textId="77777777" w:rsidR="004D5755" w:rsidRPr="004D5755" w:rsidRDefault="004D5755" w:rsidP="008A4451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16DD9FB" w14:textId="5A0899C7" w:rsidR="00C7357D" w:rsidRPr="00EB3435" w:rsidRDefault="00C7357D" w:rsidP="00061AC9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E504A13" w14:textId="77777777" w:rsidR="00C7357D" w:rsidRPr="00EB3435" w:rsidRDefault="00C7357D" w:rsidP="00EB3435">
            <w:pPr>
              <w:spacing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3435">
              <w:rPr>
                <w:rFonts w:ascii="Arial" w:hAnsi="Arial" w:cs="Arial"/>
                <w:b/>
                <w:bCs/>
                <w:sz w:val="22"/>
                <w:szCs w:val="22"/>
              </w:rPr>
              <w:t>General Responsibilities</w:t>
            </w:r>
          </w:p>
          <w:p w14:paraId="59369736" w14:textId="77777777" w:rsidR="00C7357D" w:rsidRPr="00EB3435" w:rsidRDefault="00C7357D" w:rsidP="0002668E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B3435">
              <w:rPr>
                <w:rFonts w:ascii="Arial" w:hAnsi="Arial" w:cs="Arial"/>
                <w:sz w:val="22"/>
                <w:szCs w:val="22"/>
              </w:rPr>
              <w:t>Represent SW9 professionally when interacting with residents, contractors and internal colleagues.</w:t>
            </w:r>
          </w:p>
          <w:p w14:paraId="54944103" w14:textId="4E697672" w:rsidR="004D5755" w:rsidRPr="00EB3435" w:rsidRDefault="00C7357D" w:rsidP="0002668E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B3435">
              <w:rPr>
                <w:rFonts w:ascii="Arial" w:hAnsi="Arial" w:cs="Arial"/>
                <w:sz w:val="22"/>
                <w:szCs w:val="22"/>
              </w:rPr>
              <w:t>Provide cover for colleagues during periods of absence, high workload or emergencies.</w:t>
            </w:r>
          </w:p>
          <w:p w14:paraId="22A0B2BE" w14:textId="1A929BCA" w:rsidR="004D5755" w:rsidRPr="008A4451" w:rsidRDefault="00C7357D" w:rsidP="008A4451">
            <w:pPr>
              <w:numPr>
                <w:ilvl w:val="0"/>
                <w:numId w:val="16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D5755">
              <w:rPr>
                <w:rFonts w:ascii="Arial" w:hAnsi="Arial" w:cs="Arial"/>
                <w:sz w:val="22"/>
                <w:szCs w:val="22"/>
              </w:rPr>
              <w:t>Undertake any other duties appropriate to the role, as directed by the Senior Repairs Coordinator or Head of Property Services</w:t>
            </w:r>
            <w:r w:rsidR="004D5755" w:rsidRPr="004D57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75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DD72A2" w14:textId="77777777" w:rsidR="00CE4204" w:rsidRPr="00061AC9" w:rsidRDefault="00CE4204" w:rsidP="008A4451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755C" w:rsidRPr="00E71EB4" w14:paraId="5AC5455D" w14:textId="77777777" w:rsidTr="00A261DD">
        <w:tc>
          <w:tcPr>
            <w:tcW w:w="9951" w:type="dxa"/>
            <w:gridSpan w:val="2"/>
          </w:tcPr>
          <w:p w14:paraId="275A35C4" w14:textId="77777777" w:rsidR="0065755C" w:rsidRPr="00E71EB4" w:rsidRDefault="0065755C" w:rsidP="0065755C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lastRenderedPageBreak/>
              <w:t>Standard Responsibilities</w:t>
            </w:r>
          </w:p>
          <w:p w14:paraId="4ACD64FD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Adopt and comply with SW9 CH values, policies and procedures, and regulatory frameworks including:</w:t>
            </w:r>
          </w:p>
          <w:p w14:paraId="44A80E02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Code of Conduct</w:t>
            </w:r>
          </w:p>
          <w:p w14:paraId="7E2E433B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  <w:p w14:paraId="4FD62CD6" w14:textId="77777777" w:rsidR="0065755C" w:rsidRPr="00E71EB4" w:rsidRDefault="0065755C" w:rsidP="006C655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Data Protection, confidentiality, privacy and use of IT resources</w:t>
            </w:r>
          </w:p>
          <w:p w14:paraId="6682F810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Regulatory standards and probity</w:t>
            </w:r>
          </w:p>
          <w:p w14:paraId="49737459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Risks and internal controls framework</w:t>
            </w:r>
          </w:p>
          <w:p w14:paraId="6D4361CE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Human Resources policies and procedures</w:t>
            </w:r>
          </w:p>
          <w:p w14:paraId="4D0C161E" w14:textId="77777777" w:rsidR="0065755C" w:rsidRPr="00E71EB4" w:rsidRDefault="0065755C" w:rsidP="006C6555">
            <w:pPr>
              <w:pStyle w:val="Bullet-noinden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Fonts w:ascii="Arial" w:hAnsi="Arial" w:cs="Arial"/>
                <w:sz w:val="22"/>
                <w:szCs w:val="22"/>
              </w:rPr>
              <w:t>Equality and diversity</w:t>
            </w:r>
          </w:p>
          <w:p w14:paraId="63B96785" w14:textId="77777777" w:rsidR="0065755C" w:rsidRPr="00E71EB4" w:rsidRDefault="0065755C" w:rsidP="009668B0">
            <w:pPr>
              <w:widowControl w:val="0"/>
              <w:tabs>
                <w:tab w:val="left" w:pos="0"/>
              </w:tabs>
              <w:suppressAutoHyphens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68B0" w:rsidRPr="00E71EB4" w14:paraId="511CC2B6" w14:textId="77777777" w:rsidTr="00A261DD">
        <w:tc>
          <w:tcPr>
            <w:tcW w:w="9951" w:type="dxa"/>
            <w:gridSpan w:val="2"/>
          </w:tcPr>
          <w:p w14:paraId="5D02D7C7" w14:textId="77777777" w:rsidR="009668B0" w:rsidRPr="00E71EB4" w:rsidRDefault="009668B0" w:rsidP="009668B0">
            <w:pPr>
              <w:widowControl w:val="0"/>
              <w:tabs>
                <w:tab w:val="left" w:pos="0"/>
              </w:tabs>
              <w:suppressAutoHyphens/>
              <w:spacing w:after="24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t>The post holder may be required to undertake duties of a similar nature and at this level elsewhere within in the service</w:t>
            </w:r>
          </w:p>
        </w:tc>
      </w:tr>
    </w:tbl>
    <w:p w14:paraId="7491BABB" w14:textId="77777777" w:rsidR="004A2E83" w:rsidRPr="00E71EB4" w:rsidRDefault="004A2E83">
      <w:pPr>
        <w:rPr>
          <w:rFonts w:ascii="Arial" w:hAnsi="Arial" w:cs="Arial"/>
          <w:sz w:val="22"/>
          <w:szCs w:val="22"/>
        </w:rPr>
      </w:pPr>
    </w:p>
    <w:p w14:paraId="15B5A03B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73D0BA7E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298F636B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7CE5CC38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16D88412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0B4F669B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00200767" w14:textId="77777777" w:rsidR="00D91192" w:rsidRDefault="00D91192">
      <w:pPr>
        <w:rPr>
          <w:rFonts w:ascii="Arial" w:hAnsi="Arial" w:cs="Arial"/>
          <w:sz w:val="22"/>
          <w:szCs w:val="22"/>
        </w:rPr>
      </w:pPr>
    </w:p>
    <w:p w14:paraId="531069D6" w14:textId="77777777" w:rsidR="00321488" w:rsidRDefault="00321488">
      <w:pPr>
        <w:rPr>
          <w:rFonts w:ascii="Arial" w:hAnsi="Arial" w:cs="Arial"/>
          <w:sz w:val="22"/>
          <w:szCs w:val="22"/>
        </w:rPr>
      </w:pPr>
    </w:p>
    <w:p w14:paraId="53CEDE01" w14:textId="77777777" w:rsidR="00321488" w:rsidRDefault="00321488">
      <w:pPr>
        <w:rPr>
          <w:rFonts w:ascii="Arial" w:hAnsi="Arial" w:cs="Arial"/>
          <w:sz w:val="22"/>
          <w:szCs w:val="22"/>
        </w:rPr>
      </w:pPr>
    </w:p>
    <w:p w14:paraId="07679BD3" w14:textId="77777777" w:rsidR="00321488" w:rsidRDefault="00321488">
      <w:pPr>
        <w:rPr>
          <w:rFonts w:ascii="Arial" w:hAnsi="Arial" w:cs="Arial"/>
          <w:sz w:val="22"/>
          <w:szCs w:val="22"/>
        </w:rPr>
      </w:pPr>
    </w:p>
    <w:p w14:paraId="7FA3D1BA" w14:textId="77777777" w:rsidR="00321488" w:rsidRDefault="00321488">
      <w:pPr>
        <w:rPr>
          <w:rFonts w:ascii="Arial" w:hAnsi="Arial" w:cs="Arial"/>
          <w:sz w:val="22"/>
          <w:szCs w:val="22"/>
        </w:rPr>
      </w:pPr>
    </w:p>
    <w:p w14:paraId="2300CE8E" w14:textId="77777777" w:rsidR="00321488" w:rsidRPr="00E71EB4" w:rsidRDefault="00321488">
      <w:pPr>
        <w:rPr>
          <w:rFonts w:ascii="Arial" w:hAnsi="Arial" w:cs="Arial"/>
          <w:sz w:val="22"/>
          <w:szCs w:val="22"/>
        </w:rPr>
      </w:pPr>
    </w:p>
    <w:p w14:paraId="67C8ABA5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186DBFBF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4561CC57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p w14:paraId="53E90A29" w14:textId="77777777" w:rsidR="00D91192" w:rsidRPr="00E71EB4" w:rsidRDefault="00D91192">
      <w:pPr>
        <w:rPr>
          <w:rFonts w:ascii="Arial" w:hAnsi="Arial" w:cs="Arial"/>
          <w:sz w:val="22"/>
          <w:szCs w:val="22"/>
        </w:rPr>
      </w:pPr>
    </w:p>
    <w:tbl>
      <w:tblPr>
        <w:tblW w:w="9896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8222"/>
      </w:tblGrid>
      <w:tr w:rsidR="0065755C" w:rsidRPr="00E71EB4" w14:paraId="25BF6DC0" w14:textId="77777777" w:rsidTr="00720007">
        <w:trPr>
          <w:trHeight w:val="374"/>
        </w:trPr>
        <w:tc>
          <w:tcPr>
            <w:tcW w:w="9896" w:type="dxa"/>
            <w:gridSpan w:val="2"/>
          </w:tcPr>
          <w:p w14:paraId="2E379798" w14:textId="77777777" w:rsidR="0065755C" w:rsidRPr="00E71EB4" w:rsidRDefault="0065755C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EB4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59484D" w:rsidRPr="00E71EB4" w14:paraId="0BA5C7A3" w14:textId="77777777" w:rsidTr="00321488">
        <w:trPr>
          <w:trHeight w:val="374"/>
        </w:trPr>
        <w:tc>
          <w:tcPr>
            <w:tcW w:w="1674" w:type="dxa"/>
          </w:tcPr>
          <w:p w14:paraId="3BE215D3" w14:textId="77777777" w:rsidR="0059484D" w:rsidRPr="00690611" w:rsidRDefault="0059484D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0611">
              <w:rPr>
                <w:rFonts w:ascii="Arial" w:hAnsi="Arial" w:cs="Arial"/>
                <w:bCs/>
                <w:sz w:val="22"/>
                <w:szCs w:val="22"/>
              </w:rPr>
              <w:t>Education</w:t>
            </w:r>
          </w:p>
        </w:tc>
        <w:tc>
          <w:tcPr>
            <w:tcW w:w="8222" w:type="dxa"/>
          </w:tcPr>
          <w:p w14:paraId="6B6C0688" w14:textId="77777777" w:rsidR="0059484D" w:rsidRPr="00E71EB4" w:rsidRDefault="0059484D" w:rsidP="006C655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Style w:val="normaltextrun"/>
                <w:rFonts w:ascii="Arial" w:hAnsi="Arial" w:cs="Arial"/>
                <w:sz w:val="22"/>
                <w:szCs w:val="22"/>
              </w:rPr>
              <w:t>Good standard of education or equivalent through relevant training/experience commensurate to the role (highly desirable).</w:t>
            </w:r>
            <w:r w:rsidRPr="00E71EB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43892B" w14:textId="77777777" w:rsidR="0059484D" w:rsidRPr="00E71EB4" w:rsidRDefault="0059484D" w:rsidP="005948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7BF1F08A" w14:textId="77777777" w:rsidR="0059484D" w:rsidRPr="00E71EB4" w:rsidRDefault="0059484D" w:rsidP="006C655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Style w:val="normaltextrun"/>
                <w:rFonts w:ascii="Arial" w:hAnsi="Arial" w:cs="Arial"/>
                <w:sz w:val="22"/>
                <w:szCs w:val="22"/>
              </w:rPr>
              <w:t>Evidence of working within social housing continuous, challenging, and relevant professional development.</w:t>
            </w:r>
            <w:r w:rsidRPr="00E71EB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5CC9" w:rsidRPr="00E71EB4" w14:paraId="282847B4" w14:textId="77777777" w:rsidTr="00321488">
        <w:trPr>
          <w:trHeight w:val="374"/>
        </w:trPr>
        <w:tc>
          <w:tcPr>
            <w:tcW w:w="1674" w:type="dxa"/>
          </w:tcPr>
          <w:p w14:paraId="71E86219" w14:textId="77777777" w:rsidR="00975CC9" w:rsidRPr="00690611" w:rsidRDefault="00975CC9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0611">
              <w:rPr>
                <w:rStyle w:val="normaltextrun"/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Knowledge</w:t>
            </w:r>
            <w:r w:rsidRPr="00690611">
              <w:rPr>
                <w:rStyle w:val="eop"/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222" w:type="dxa"/>
          </w:tcPr>
          <w:p w14:paraId="7B084786" w14:textId="77777777" w:rsidR="00D91192" w:rsidRPr="00E71EB4" w:rsidRDefault="00D91192" w:rsidP="006C655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A background of responsive repairs, housing and customer service is desirable as we are looking for a client to hit the ground running.</w:t>
            </w:r>
            <w:r w:rsidRPr="00E71EB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7ACD5FF" w14:textId="77777777" w:rsidR="00D91192" w:rsidRPr="00E71EB4" w:rsidRDefault="00D91192" w:rsidP="00D911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C9A43EC" w14:textId="77777777" w:rsidR="00D91192" w:rsidRPr="00E71EB4" w:rsidRDefault="00D91192" w:rsidP="006C655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Style w:val="normaltextrun"/>
                <w:rFonts w:ascii="Arial" w:hAnsi="Arial" w:cs="Arial"/>
                <w:sz w:val="22"/>
                <w:szCs w:val="22"/>
              </w:rPr>
              <w:t>Demonstrate evidence of building and maintaining effective, productive relationships with key stakeholders.</w:t>
            </w:r>
            <w:r w:rsidRPr="00E71EB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52C75A0" w14:textId="77777777" w:rsidR="00D91192" w:rsidRPr="00E71EB4" w:rsidRDefault="00D91192" w:rsidP="006C655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1EB4">
              <w:rPr>
                <w:rStyle w:val="normaltextrun"/>
                <w:rFonts w:ascii="Arial" w:hAnsi="Arial" w:cs="Arial"/>
                <w:sz w:val="22"/>
                <w:szCs w:val="22"/>
              </w:rPr>
              <w:t>Sound knowledge of current and future challenges facing housing as well as an understanding of “third sector” services’ issues and sensitivities.</w:t>
            </w:r>
            <w:r w:rsidRPr="00E71EB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5A93A23" w14:textId="77777777" w:rsidR="00975CC9" w:rsidRPr="00E71EB4" w:rsidRDefault="00975CC9" w:rsidP="005948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D91192" w:rsidRPr="00E71EB4" w14:paraId="15BC8716" w14:textId="77777777" w:rsidTr="00321488">
        <w:trPr>
          <w:trHeight w:val="552"/>
        </w:trPr>
        <w:tc>
          <w:tcPr>
            <w:tcW w:w="1674" w:type="dxa"/>
            <w:tcBorders>
              <w:bottom w:val="single" w:sz="6" w:space="0" w:color="auto"/>
            </w:tcBorders>
          </w:tcPr>
          <w:p w14:paraId="2C5388F4" w14:textId="77777777" w:rsidR="00D91192" w:rsidRPr="00E71EB4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 w:rsidRPr="00E71EB4">
              <w:t>Experience</w:t>
            </w:r>
          </w:p>
        </w:tc>
        <w:tc>
          <w:tcPr>
            <w:tcW w:w="8222" w:type="dxa"/>
            <w:tcBorders>
              <w:bottom w:val="single" w:sz="6" w:space="0" w:color="auto"/>
            </w:tcBorders>
          </w:tcPr>
          <w:p w14:paraId="1BB9B3D6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Demonstrate a high standard of written skills including report writing and responding professionally to complaints</w:t>
            </w:r>
          </w:p>
          <w:p w14:paraId="3E34DF40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 xml:space="preserve">Substantial proven experience in a similar role. </w:t>
            </w:r>
          </w:p>
          <w:p w14:paraId="0D65712C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Experience of Northgate and CRM</w:t>
            </w:r>
          </w:p>
          <w:p w14:paraId="07B34D13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Experience of working in social housing.</w:t>
            </w:r>
          </w:p>
          <w:p w14:paraId="04A08C33" w14:textId="77777777" w:rsidR="0059591F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 xml:space="preserve">Experience of dealing with complaints </w:t>
            </w:r>
          </w:p>
          <w:p w14:paraId="1E2F4025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Experience of dealing with Disrepair cases</w:t>
            </w:r>
          </w:p>
        </w:tc>
      </w:tr>
      <w:tr w:rsidR="00D91192" w:rsidRPr="00E71EB4" w14:paraId="14DFCE70" w14:textId="77777777" w:rsidTr="00321488">
        <w:trPr>
          <w:trHeight w:val="552"/>
        </w:trPr>
        <w:tc>
          <w:tcPr>
            <w:tcW w:w="1674" w:type="dxa"/>
            <w:tcBorders>
              <w:bottom w:val="single" w:sz="6" w:space="0" w:color="auto"/>
            </w:tcBorders>
          </w:tcPr>
          <w:p w14:paraId="7C9720F1" w14:textId="77777777" w:rsidR="00D91192" w:rsidRPr="00E71EB4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 w:rsidRPr="00E71EB4">
              <w:t>Skills</w:t>
            </w:r>
          </w:p>
        </w:tc>
        <w:tc>
          <w:tcPr>
            <w:tcW w:w="8222" w:type="dxa"/>
            <w:tcBorders>
              <w:bottom w:val="single" w:sz="6" w:space="0" w:color="auto"/>
            </w:tcBorders>
          </w:tcPr>
          <w:p w14:paraId="4CD7C878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Excellent interpersonal skills to support work with customers across a range of circumstances</w:t>
            </w:r>
          </w:p>
          <w:p w14:paraId="0D327472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Excellent customer focus and a genuine desire to achieve excellence in all areas of responsibility</w:t>
            </w:r>
          </w:p>
          <w:p w14:paraId="63A9EC83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Excellent time management skills and able to prioritise, plan own workload and show flexibility</w:t>
            </w:r>
          </w:p>
          <w:p w14:paraId="08E35926" w14:textId="77777777" w:rsidR="00D91192" w:rsidRPr="00E71EB4" w:rsidRDefault="00D91192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Excellent analytical skills to identify a range of issues from information gathered</w:t>
            </w:r>
          </w:p>
        </w:tc>
      </w:tr>
      <w:tr w:rsidR="003841B7" w:rsidRPr="00E71EB4" w14:paraId="7F94995E" w14:textId="77777777" w:rsidTr="00321488">
        <w:trPr>
          <w:trHeight w:val="552"/>
        </w:trPr>
        <w:tc>
          <w:tcPr>
            <w:tcW w:w="1674" w:type="dxa"/>
          </w:tcPr>
          <w:p w14:paraId="68FF6B0A" w14:textId="77777777" w:rsidR="00D91192" w:rsidRPr="00E71EB4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 w:rsidRPr="00E71EB4">
              <w:t>Abilities</w:t>
            </w:r>
          </w:p>
        </w:tc>
        <w:tc>
          <w:tcPr>
            <w:tcW w:w="8222" w:type="dxa"/>
          </w:tcPr>
          <w:p w14:paraId="29BA3BFF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Ability to meet deadlines and plan and deliver a range of different activities</w:t>
            </w:r>
          </w:p>
          <w:p w14:paraId="689C658C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Demonstrate self-motivation and enthusiasm</w:t>
            </w:r>
          </w:p>
          <w:p w14:paraId="52F0A9BD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Ability to take notes of meetings effectively</w:t>
            </w:r>
          </w:p>
          <w:p w14:paraId="75AC977E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Ability to work on own or as part of a team including the ability to work effectively with contractors</w:t>
            </w:r>
          </w:p>
          <w:p w14:paraId="793CA2D3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Good knowledge of IT systems including Word, Excel and Outlook.</w:t>
            </w:r>
          </w:p>
          <w:p w14:paraId="263F61C7" w14:textId="77777777" w:rsidR="0065755C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Ability to use initiative while working within guidelines</w:t>
            </w:r>
          </w:p>
          <w:p w14:paraId="6896E323" w14:textId="77777777" w:rsidR="00D86143" w:rsidRPr="00E71EB4" w:rsidRDefault="0065755C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/>
            </w:pPr>
            <w:r w:rsidRPr="00E71EB4">
              <w:t>Excellent attention to detail</w:t>
            </w:r>
          </w:p>
        </w:tc>
      </w:tr>
      <w:tr w:rsidR="00321488" w:rsidRPr="00E71EB4" w14:paraId="314C89F6" w14:textId="77777777" w:rsidTr="00321488">
        <w:trPr>
          <w:trHeight w:val="552"/>
        </w:trPr>
        <w:tc>
          <w:tcPr>
            <w:tcW w:w="1674" w:type="dxa"/>
            <w:tcBorders>
              <w:bottom w:val="single" w:sz="6" w:space="0" w:color="auto"/>
            </w:tcBorders>
          </w:tcPr>
          <w:p w14:paraId="4D425E88" w14:textId="5F401DEB" w:rsidR="00321488" w:rsidRPr="00E71EB4" w:rsidRDefault="00321488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>
              <w:t xml:space="preserve">Key Relationships </w:t>
            </w:r>
          </w:p>
        </w:tc>
        <w:tc>
          <w:tcPr>
            <w:tcW w:w="8222" w:type="dxa"/>
            <w:tcBorders>
              <w:bottom w:val="single" w:sz="6" w:space="0" w:color="auto"/>
            </w:tcBorders>
          </w:tcPr>
          <w:p w14:paraId="59B873B1" w14:textId="77777777" w:rsidR="00321488" w:rsidRPr="00E71EB4" w:rsidRDefault="00321488" w:rsidP="006C6555">
            <w:pPr>
              <w:widowControl w:val="0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E71EB4">
              <w:rPr>
                <w:rFonts w:ascii="Arial" w:eastAsia="Arial" w:hAnsi="Arial" w:cs="Arial"/>
                <w:sz w:val="22"/>
                <w:szCs w:val="22"/>
                <w:lang w:bidi="en-GB"/>
              </w:rPr>
              <w:t>Managers and staff within SW9 CH and Network Homes</w:t>
            </w:r>
          </w:p>
          <w:p w14:paraId="143B28B7" w14:textId="77777777" w:rsidR="00321488" w:rsidRPr="00E71EB4" w:rsidRDefault="00321488" w:rsidP="006C6555">
            <w:pPr>
              <w:widowControl w:val="0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E71EB4">
              <w:rPr>
                <w:rFonts w:ascii="Arial" w:eastAsia="Arial" w:hAnsi="Arial" w:cs="Arial"/>
                <w:sz w:val="22"/>
                <w:szCs w:val="22"/>
                <w:lang w:bidi="en-GB"/>
              </w:rPr>
              <w:t>Residents and resident representatives</w:t>
            </w:r>
          </w:p>
          <w:p w14:paraId="3C95BF09" w14:textId="77777777" w:rsidR="00321488" w:rsidRPr="00E71EB4" w:rsidRDefault="00321488" w:rsidP="006C6555">
            <w:pPr>
              <w:widowControl w:val="0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E71EB4">
              <w:rPr>
                <w:rFonts w:ascii="Arial" w:eastAsia="Arial" w:hAnsi="Arial" w:cs="Arial"/>
                <w:sz w:val="22"/>
                <w:szCs w:val="22"/>
                <w:lang w:bidi="en-GB"/>
              </w:rPr>
              <w:t>Contractors and consultants</w:t>
            </w:r>
          </w:p>
          <w:p w14:paraId="06316DC3" w14:textId="57CE8BD8" w:rsidR="00321488" w:rsidRPr="00E71EB4" w:rsidRDefault="00321488" w:rsidP="006C65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E71EB4">
              <w:t>Internal and external auditors</w:t>
            </w:r>
          </w:p>
        </w:tc>
      </w:tr>
    </w:tbl>
    <w:p w14:paraId="02CC9B52" w14:textId="77777777" w:rsidR="001446A7" w:rsidRPr="00E71EB4" w:rsidRDefault="001446A7">
      <w:pPr>
        <w:rPr>
          <w:rFonts w:ascii="Arial" w:hAnsi="Arial" w:cs="Arial"/>
          <w:sz w:val="22"/>
          <w:szCs w:val="22"/>
        </w:rPr>
      </w:pPr>
    </w:p>
    <w:p w14:paraId="62108B65" w14:textId="77777777" w:rsidR="00262CF7" w:rsidRPr="00E71EB4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RPr="00E71EB4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62C"/>
    <w:multiLevelType w:val="hybridMultilevel"/>
    <w:tmpl w:val="01FC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A3A"/>
    <w:multiLevelType w:val="hybridMultilevel"/>
    <w:tmpl w:val="A0EE3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2F9"/>
    <w:multiLevelType w:val="multilevel"/>
    <w:tmpl w:val="161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36387"/>
    <w:multiLevelType w:val="multilevel"/>
    <w:tmpl w:val="0A3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647AE"/>
    <w:multiLevelType w:val="multilevel"/>
    <w:tmpl w:val="325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06C3F"/>
    <w:multiLevelType w:val="multilevel"/>
    <w:tmpl w:val="DF0E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41639"/>
    <w:multiLevelType w:val="hybridMultilevel"/>
    <w:tmpl w:val="5FEE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2254E"/>
    <w:multiLevelType w:val="hybridMultilevel"/>
    <w:tmpl w:val="A6EA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B7A5E"/>
    <w:multiLevelType w:val="hybridMultilevel"/>
    <w:tmpl w:val="5586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D0854"/>
    <w:multiLevelType w:val="multilevel"/>
    <w:tmpl w:val="7C7E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85118"/>
    <w:multiLevelType w:val="hybridMultilevel"/>
    <w:tmpl w:val="B396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45387"/>
    <w:multiLevelType w:val="hybridMultilevel"/>
    <w:tmpl w:val="83FE2D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16961"/>
    <w:multiLevelType w:val="multilevel"/>
    <w:tmpl w:val="DE9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325D1"/>
    <w:multiLevelType w:val="multilevel"/>
    <w:tmpl w:val="F96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D6E43"/>
    <w:multiLevelType w:val="multilevel"/>
    <w:tmpl w:val="893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F5B5C"/>
    <w:multiLevelType w:val="multilevel"/>
    <w:tmpl w:val="29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7C"/>
    <w:multiLevelType w:val="multilevel"/>
    <w:tmpl w:val="E8A2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24EF5"/>
    <w:multiLevelType w:val="hybridMultilevel"/>
    <w:tmpl w:val="90F8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31F98"/>
    <w:multiLevelType w:val="multilevel"/>
    <w:tmpl w:val="A4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C0FCD"/>
    <w:multiLevelType w:val="hybridMultilevel"/>
    <w:tmpl w:val="99C2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E4428"/>
    <w:multiLevelType w:val="multilevel"/>
    <w:tmpl w:val="EEB6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9661B"/>
    <w:multiLevelType w:val="multilevel"/>
    <w:tmpl w:val="CD7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541F2"/>
    <w:multiLevelType w:val="multilevel"/>
    <w:tmpl w:val="5B1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33564"/>
    <w:multiLevelType w:val="multilevel"/>
    <w:tmpl w:val="196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26575"/>
    <w:multiLevelType w:val="multilevel"/>
    <w:tmpl w:val="1F8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D5EF9"/>
    <w:multiLevelType w:val="hybridMultilevel"/>
    <w:tmpl w:val="8A44D9EC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7" w15:restartNumberingAfterBreak="0">
    <w:nsid w:val="73A85752"/>
    <w:multiLevelType w:val="multilevel"/>
    <w:tmpl w:val="38D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7389A"/>
    <w:multiLevelType w:val="hybridMultilevel"/>
    <w:tmpl w:val="7400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16F15"/>
    <w:multiLevelType w:val="multilevel"/>
    <w:tmpl w:val="AED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04C1A"/>
    <w:multiLevelType w:val="hybridMultilevel"/>
    <w:tmpl w:val="C176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1197"/>
    <w:multiLevelType w:val="hybridMultilevel"/>
    <w:tmpl w:val="DE724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122F3"/>
    <w:multiLevelType w:val="hybridMultilevel"/>
    <w:tmpl w:val="DF2C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3116">
    <w:abstractNumId w:val="23"/>
  </w:num>
  <w:num w:numId="2" w16cid:durableId="851795864">
    <w:abstractNumId w:val="30"/>
  </w:num>
  <w:num w:numId="3" w16cid:durableId="1542859834">
    <w:abstractNumId w:val="26"/>
  </w:num>
  <w:num w:numId="4" w16cid:durableId="2123988671">
    <w:abstractNumId w:val="18"/>
  </w:num>
  <w:num w:numId="5" w16cid:durableId="499463361">
    <w:abstractNumId w:val="28"/>
  </w:num>
  <w:num w:numId="6" w16cid:durableId="223681284">
    <w:abstractNumId w:val="8"/>
  </w:num>
  <w:num w:numId="7" w16cid:durableId="456140522">
    <w:abstractNumId w:val="17"/>
  </w:num>
  <w:num w:numId="8" w16cid:durableId="494539284">
    <w:abstractNumId w:val="31"/>
  </w:num>
  <w:num w:numId="9" w16cid:durableId="893587288">
    <w:abstractNumId w:val="6"/>
  </w:num>
  <w:num w:numId="10" w16cid:durableId="1219166672">
    <w:abstractNumId w:val="1"/>
  </w:num>
  <w:num w:numId="11" w16cid:durableId="1109741993">
    <w:abstractNumId w:val="0"/>
  </w:num>
  <w:num w:numId="12" w16cid:durableId="285280481">
    <w:abstractNumId w:val="19"/>
  </w:num>
  <w:num w:numId="13" w16cid:durableId="1662199469">
    <w:abstractNumId w:val="10"/>
  </w:num>
  <w:num w:numId="14" w16cid:durableId="320736066">
    <w:abstractNumId w:val="11"/>
  </w:num>
  <w:num w:numId="15" w16cid:durableId="699354089">
    <w:abstractNumId w:val="15"/>
  </w:num>
  <w:num w:numId="16" w16cid:durableId="338821635">
    <w:abstractNumId w:val="22"/>
  </w:num>
  <w:num w:numId="17" w16cid:durableId="121653896">
    <w:abstractNumId w:val="24"/>
  </w:num>
  <w:num w:numId="18" w16cid:durableId="2000959845">
    <w:abstractNumId w:val="2"/>
  </w:num>
  <w:num w:numId="19" w16cid:durableId="599802146">
    <w:abstractNumId w:val="12"/>
  </w:num>
  <w:num w:numId="20" w16cid:durableId="2021617590">
    <w:abstractNumId w:val="3"/>
  </w:num>
  <w:num w:numId="21" w16cid:durableId="414669986">
    <w:abstractNumId w:val="21"/>
  </w:num>
  <w:num w:numId="22" w16cid:durableId="1002588629">
    <w:abstractNumId w:val="5"/>
  </w:num>
  <w:num w:numId="23" w16cid:durableId="1720592380">
    <w:abstractNumId w:val="4"/>
  </w:num>
  <w:num w:numId="24" w16cid:durableId="1508247381">
    <w:abstractNumId w:val="25"/>
  </w:num>
  <w:num w:numId="25" w16cid:durableId="572742874">
    <w:abstractNumId w:val="16"/>
  </w:num>
  <w:num w:numId="26" w16cid:durableId="1546479942">
    <w:abstractNumId w:val="9"/>
  </w:num>
  <w:num w:numId="27" w16cid:durableId="2038726131">
    <w:abstractNumId w:val="13"/>
  </w:num>
  <w:num w:numId="28" w16cid:durableId="1045445243">
    <w:abstractNumId w:val="29"/>
  </w:num>
  <w:num w:numId="29" w16cid:durableId="875200500">
    <w:abstractNumId w:val="14"/>
  </w:num>
  <w:num w:numId="30" w16cid:durableId="237904524">
    <w:abstractNumId w:val="32"/>
  </w:num>
  <w:num w:numId="31" w16cid:durableId="455098391">
    <w:abstractNumId w:val="20"/>
  </w:num>
  <w:num w:numId="32" w16cid:durableId="2056923792">
    <w:abstractNumId w:val="27"/>
  </w:num>
  <w:num w:numId="33" w16cid:durableId="53184929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33FB"/>
    <w:rsid w:val="0002206D"/>
    <w:rsid w:val="00023515"/>
    <w:rsid w:val="0002668E"/>
    <w:rsid w:val="000500CC"/>
    <w:rsid w:val="00061AC9"/>
    <w:rsid w:val="000667ED"/>
    <w:rsid w:val="00086CB3"/>
    <w:rsid w:val="000B722B"/>
    <w:rsid w:val="000D4740"/>
    <w:rsid w:val="000E6AC5"/>
    <w:rsid w:val="000F5070"/>
    <w:rsid w:val="00103694"/>
    <w:rsid w:val="001071D9"/>
    <w:rsid w:val="00111379"/>
    <w:rsid w:val="00117823"/>
    <w:rsid w:val="00133F60"/>
    <w:rsid w:val="001349B8"/>
    <w:rsid w:val="001446A7"/>
    <w:rsid w:val="00146C51"/>
    <w:rsid w:val="00174790"/>
    <w:rsid w:val="001771F2"/>
    <w:rsid w:val="001804ED"/>
    <w:rsid w:val="001831A3"/>
    <w:rsid w:val="00194209"/>
    <w:rsid w:val="001A7A86"/>
    <w:rsid w:val="001C727A"/>
    <w:rsid w:val="001C7C79"/>
    <w:rsid w:val="001E0C39"/>
    <w:rsid w:val="00210EAC"/>
    <w:rsid w:val="00214FAC"/>
    <w:rsid w:val="002166F2"/>
    <w:rsid w:val="002200FC"/>
    <w:rsid w:val="00231E16"/>
    <w:rsid w:val="00255731"/>
    <w:rsid w:val="002566F1"/>
    <w:rsid w:val="002625A6"/>
    <w:rsid w:val="00262CF7"/>
    <w:rsid w:val="00273878"/>
    <w:rsid w:val="002806B0"/>
    <w:rsid w:val="00286824"/>
    <w:rsid w:val="00293870"/>
    <w:rsid w:val="002A4C73"/>
    <w:rsid w:val="002B5373"/>
    <w:rsid w:val="002B6E94"/>
    <w:rsid w:val="002D0EE4"/>
    <w:rsid w:val="002D4FDB"/>
    <w:rsid w:val="002D5FF3"/>
    <w:rsid w:val="002D68B1"/>
    <w:rsid w:val="002E2245"/>
    <w:rsid w:val="002E5317"/>
    <w:rsid w:val="00300F91"/>
    <w:rsid w:val="00316516"/>
    <w:rsid w:val="003165B6"/>
    <w:rsid w:val="00321488"/>
    <w:rsid w:val="003279A9"/>
    <w:rsid w:val="003371AF"/>
    <w:rsid w:val="0034277C"/>
    <w:rsid w:val="0034324B"/>
    <w:rsid w:val="00344450"/>
    <w:rsid w:val="003535F2"/>
    <w:rsid w:val="003637E4"/>
    <w:rsid w:val="00371C2C"/>
    <w:rsid w:val="0037586B"/>
    <w:rsid w:val="003841B7"/>
    <w:rsid w:val="00392ED6"/>
    <w:rsid w:val="003932B7"/>
    <w:rsid w:val="00393CBB"/>
    <w:rsid w:val="003A754C"/>
    <w:rsid w:val="003C4CDB"/>
    <w:rsid w:val="003C5AC3"/>
    <w:rsid w:val="003D28F5"/>
    <w:rsid w:val="003D68A2"/>
    <w:rsid w:val="003D76B2"/>
    <w:rsid w:val="003E33DE"/>
    <w:rsid w:val="003E5D70"/>
    <w:rsid w:val="003F2056"/>
    <w:rsid w:val="003F4465"/>
    <w:rsid w:val="004067CB"/>
    <w:rsid w:val="00407A3C"/>
    <w:rsid w:val="00424C9E"/>
    <w:rsid w:val="00431B05"/>
    <w:rsid w:val="00455A48"/>
    <w:rsid w:val="004813B7"/>
    <w:rsid w:val="00486283"/>
    <w:rsid w:val="004A2E83"/>
    <w:rsid w:val="004B261D"/>
    <w:rsid w:val="004B5442"/>
    <w:rsid w:val="004B7C35"/>
    <w:rsid w:val="004C2135"/>
    <w:rsid w:val="004D0F31"/>
    <w:rsid w:val="004D5755"/>
    <w:rsid w:val="004F1FE1"/>
    <w:rsid w:val="004F231A"/>
    <w:rsid w:val="004F6F81"/>
    <w:rsid w:val="00500A30"/>
    <w:rsid w:val="005034C7"/>
    <w:rsid w:val="005265C7"/>
    <w:rsid w:val="00537337"/>
    <w:rsid w:val="00545928"/>
    <w:rsid w:val="005567EA"/>
    <w:rsid w:val="0056507B"/>
    <w:rsid w:val="00572BBD"/>
    <w:rsid w:val="00575A97"/>
    <w:rsid w:val="0059484D"/>
    <w:rsid w:val="0059591F"/>
    <w:rsid w:val="005B4459"/>
    <w:rsid w:val="005C0232"/>
    <w:rsid w:val="005D4AC2"/>
    <w:rsid w:val="005F6ACD"/>
    <w:rsid w:val="006112CF"/>
    <w:rsid w:val="00634CF2"/>
    <w:rsid w:val="00643DA8"/>
    <w:rsid w:val="00653DB9"/>
    <w:rsid w:val="00653E79"/>
    <w:rsid w:val="0065755C"/>
    <w:rsid w:val="00674A8F"/>
    <w:rsid w:val="00675813"/>
    <w:rsid w:val="00685DE1"/>
    <w:rsid w:val="00690611"/>
    <w:rsid w:val="006A2691"/>
    <w:rsid w:val="006A732D"/>
    <w:rsid w:val="006C6555"/>
    <w:rsid w:val="006E70A6"/>
    <w:rsid w:val="006F041F"/>
    <w:rsid w:val="006F2680"/>
    <w:rsid w:val="0070154F"/>
    <w:rsid w:val="00720007"/>
    <w:rsid w:val="00767E89"/>
    <w:rsid w:val="00785510"/>
    <w:rsid w:val="007860DF"/>
    <w:rsid w:val="00790CE1"/>
    <w:rsid w:val="00793833"/>
    <w:rsid w:val="00793A1B"/>
    <w:rsid w:val="007A304A"/>
    <w:rsid w:val="007B0CF6"/>
    <w:rsid w:val="007B761A"/>
    <w:rsid w:val="007E2799"/>
    <w:rsid w:val="007E4891"/>
    <w:rsid w:val="007E4DA1"/>
    <w:rsid w:val="007E6237"/>
    <w:rsid w:val="007F7CC6"/>
    <w:rsid w:val="00816FB5"/>
    <w:rsid w:val="008374E3"/>
    <w:rsid w:val="00837873"/>
    <w:rsid w:val="008402EA"/>
    <w:rsid w:val="0085372E"/>
    <w:rsid w:val="00880443"/>
    <w:rsid w:val="00881DFE"/>
    <w:rsid w:val="00883701"/>
    <w:rsid w:val="00884F12"/>
    <w:rsid w:val="00885C06"/>
    <w:rsid w:val="008864F8"/>
    <w:rsid w:val="00897C33"/>
    <w:rsid w:val="008A3F38"/>
    <w:rsid w:val="008A4451"/>
    <w:rsid w:val="008A55D3"/>
    <w:rsid w:val="008A7839"/>
    <w:rsid w:val="008B480C"/>
    <w:rsid w:val="008C15C2"/>
    <w:rsid w:val="008D305F"/>
    <w:rsid w:val="008D445E"/>
    <w:rsid w:val="008F776B"/>
    <w:rsid w:val="00903B2E"/>
    <w:rsid w:val="00904B20"/>
    <w:rsid w:val="009058CA"/>
    <w:rsid w:val="00910735"/>
    <w:rsid w:val="00921478"/>
    <w:rsid w:val="00926368"/>
    <w:rsid w:val="0093589D"/>
    <w:rsid w:val="00950CB1"/>
    <w:rsid w:val="009668B0"/>
    <w:rsid w:val="00975CC9"/>
    <w:rsid w:val="009B1A21"/>
    <w:rsid w:val="009B4856"/>
    <w:rsid w:val="009C0A8A"/>
    <w:rsid w:val="009D1B77"/>
    <w:rsid w:val="009E5D35"/>
    <w:rsid w:val="009E6768"/>
    <w:rsid w:val="009E7E8E"/>
    <w:rsid w:val="00A04C21"/>
    <w:rsid w:val="00A06E64"/>
    <w:rsid w:val="00A11310"/>
    <w:rsid w:val="00A21080"/>
    <w:rsid w:val="00A261DD"/>
    <w:rsid w:val="00A332A2"/>
    <w:rsid w:val="00A43425"/>
    <w:rsid w:val="00A64575"/>
    <w:rsid w:val="00A6772E"/>
    <w:rsid w:val="00A70BD9"/>
    <w:rsid w:val="00A74707"/>
    <w:rsid w:val="00A93822"/>
    <w:rsid w:val="00A93BD6"/>
    <w:rsid w:val="00AB4C96"/>
    <w:rsid w:val="00AB5A26"/>
    <w:rsid w:val="00AC2DF2"/>
    <w:rsid w:val="00AE5816"/>
    <w:rsid w:val="00AF0D90"/>
    <w:rsid w:val="00AF11CF"/>
    <w:rsid w:val="00B16017"/>
    <w:rsid w:val="00B338AA"/>
    <w:rsid w:val="00B364B3"/>
    <w:rsid w:val="00B70473"/>
    <w:rsid w:val="00B74CE1"/>
    <w:rsid w:val="00B77AB7"/>
    <w:rsid w:val="00B83E5C"/>
    <w:rsid w:val="00B93580"/>
    <w:rsid w:val="00BA1635"/>
    <w:rsid w:val="00BA64EE"/>
    <w:rsid w:val="00BC2BC0"/>
    <w:rsid w:val="00BD6D25"/>
    <w:rsid w:val="00BF0BE3"/>
    <w:rsid w:val="00BF4E65"/>
    <w:rsid w:val="00C058FE"/>
    <w:rsid w:val="00C37314"/>
    <w:rsid w:val="00C7357D"/>
    <w:rsid w:val="00C868FD"/>
    <w:rsid w:val="00C94A3E"/>
    <w:rsid w:val="00CA0AF4"/>
    <w:rsid w:val="00CA5324"/>
    <w:rsid w:val="00CB37E9"/>
    <w:rsid w:val="00CC05C9"/>
    <w:rsid w:val="00CC7C59"/>
    <w:rsid w:val="00CD335D"/>
    <w:rsid w:val="00CD4219"/>
    <w:rsid w:val="00CD53DE"/>
    <w:rsid w:val="00CD5DBC"/>
    <w:rsid w:val="00CE05B1"/>
    <w:rsid w:val="00CE4204"/>
    <w:rsid w:val="00D1197B"/>
    <w:rsid w:val="00D260F0"/>
    <w:rsid w:val="00D404ED"/>
    <w:rsid w:val="00D65D33"/>
    <w:rsid w:val="00D705BF"/>
    <w:rsid w:val="00D86143"/>
    <w:rsid w:val="00D86411"/>
    <w:rsid w:val="00D91192"/>
    <w:rsid w:val="00DB59C8"/>
    <w:rsid w:val="00DC0BD6"/>
    <w:rsid w:val="00DC4228"/>
    <w:rsid w:val="00DC475B"/>
    <w:rsid w:val="00DF45E6"/>
    <w:rsid w:val="00DF4EA3"/>
    <w:rsid w:val="00DF5D01"/>
    <w:rsid w:val="00E033EF"/>
    <w:rsid w:val="00E10237"/>
    <w:rsid w:val="00E17F99"/>
    <w:rsid w:val="00E468F3"/>
    <w:rsid w:val="00E50762"/>
    <w:rsid w:val="00E60A1D"/>
    <w:rsid w:val="00E71EB4"/>
    <w:rsid w:val="00E75233"/>
    <w:rsid w:val="00E90FE6"/>
    <w:rsid w:val="00E939BB"/>
    <w:rsid w:val="00E93D16"/>
    <w:rsid w:val="00EA09DE"/>
    <w:rsid w:val="00EB3435"/>
    <w:rsid w:val="00EB54A7"/>
    <w:rsid w:val="00ED0AB8"/>
    <w:rsid w:val="00ED2B08"/>
    <w:rsid w:val="00ED720B"/>
    <w:rsid w:val="00EF0B19"/>
    <w:rsid w:val="00F05CB6"/>
    <w:rsid w:val="00F1099C"/>
    <w:rsid w:val="00F26FD0"/>
    <w:rsid w:val="00F60025"/>
    <w:rsid w:val="00F714B0"/>
    <w:rsid w:val="00F754BC"/>
    <w:rsid w:val="00F80C8D"/>
    <w:rsid w:val="00F93B70"/>
    <w:rsid w:val="00F94D87"/>
    <w:rsid w:val="00F966BB"/>
    <w:rsid w:val="00FA47B3"/>
    <w:rsid w:val="00FA5DAC"/>
    <w:rsid w:val="00FB4229"/>
    <w:rsid w:val="00FE06D1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42743"/>
  <w15:chartTrackingRefBased/>
  <w15:docId w15:val="{4618572B-A419-443E-93B0-0F82D4C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6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5C2"/>
    <w:pPr>
      <w:ind w:left="720"/>
    </w:pPr>
  </w:style>
  <w:style w:type="paragraph" w:styleId="BodyText2">
    <w:name w:val="Body Text 2"/>
    <w:basedOn w:val="Normal"/>
    <w:link w:val="BodyText2Char"/>
    <w:rsid w:val="00BA1635"/>
    <w:rPr>
      <w:rFonts w:ascii="Tahoma" w:hAnsi="Tahoma"/>
      <w:szCs w:val="20"/>
      <w:lang w:eastAsia="en-US"/>
    </w:rPr>
  </w:style>
  <w:style w:type="character" w:customStyle="1" w:styleId="BodyText2Char">
    <w:name w:val="Body Text 2 Char"/>
    <w:link w:val="BodyText2"/>
    <w:rsid w:val="00BA1635"/>
    <w:rPr>
      <w:rFonts w:ascii="Tahoma" w:hAnsi="Tahoma"/>
      <w:sz w:val="24"/>
      <w:lang w:eastAsia="en-US"/>
    </w:rPr>
  </w:style>
  <w:style w:type="character" w:customStyle="1" w:styleId="HeaderChar">
    <w:name w:val="Header Char"/>
    <w:link w:val="Header"/>
    <w:locked/>
    <w:rsid w:val="006A2691"/>
    <w:rPr>
      <w:sz w:val="24"/>
      <w:szCs w:val="24"/>
    </w:rPr>
  </w:style>
  <w:style w:type="table" w:styleId="TableGrid">
    <w:name w:val="Table Grid"/>
    <w:basedOn w:val="TableNormal"/>
    <w:uiPriority w:val="59"/>
    <w:rsid w:val="00CC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E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7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279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74C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NormalWeb">
    <w:name w:val="Normal (Web)"/>
    <w:basedOn w:val="Normal"/>
    <w:uiPriority w:val="99"/>
    <w:unhideWhenUsed/>
    <w:rsid w:val="00ED2B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D2B08"/>
    <w:rPr>
      <w:b/>
      <w:bCs/>
    </w:rPr>
  </w:style>
  <w:style w:type="character" w:customStyle="1" w:styleId="normaltextrun">
    <w:name w:val="normaltextrun"/>
    <w:basedOn w:val="DefaultParagraphFont"/>
    <w:rsid w:val="003279A9"/>
  </w:style>
  <w:style w:type="paragraph" w:customStyle="1" w:styleId="paragraph">
    <w:name w:val="paragraph"/>
    <w:basedOn w:val="Normal"/>
    <w:rsid w:val="0059484D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9484D"/>
  </w:style>
  <w:style w:type="paragraph" w:styleId="Revision">
    <w:name w:val="Revision"/>
    <w:hidden/>
    <w:uiPriority w:val="99"/>
    <w:semiHidden/>
    <w:rsid w:val="009058C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68E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5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Props1.xml><?xml version="1.0" encoding="utf-8"?>
<ds:datastoreItem xmlns:ds="http://schemas.openxmlformats.org/officeDocument/2006/customXml" ds:itemID="{B21F1EDD-4E48-4BBF-86B0-C3905D8A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C743D-CF2F-41EC-A9CA-2F306A518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671A4-C159-434A-A3FB-E1EA432156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14C028-E0E4-48FE-8487-DFCF0D01EF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1D6D42-D003-44BA-8AFD-9041EAAD5C8C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7694</Characters>
  <Application>Microsoft Office Word</Application>
  <DocSecurity>0</DocSecurity>
  <Lines>214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Housing Group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2019-02-22T08:09:00Z</cp:lastPrinted>
  <dcterms:created xsi:type="dcterms:W3CDTF">2026-02-06T15:32:00Z</dcterms:created>
  <dcterms:modified xsi:type="dcterms:W3CDTF">2026-02-06T15:32:00Z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</Properties>
</file>