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092"/>
      </w:tblGrid>
      <w:tr w:rsidR="002E5317" w14:paraId="7ACB7139" w14:textId="77777777" w:rsidTr="00C11B0F">
        <w:trPr>
          <w:trHeight w:val="1550"/>
        </w:trPr>
        <w:tc>
          <w:tcPr>
            <w:tcW w:w="2808" w:type="dxa"/>
            <w:shd w:val="clear" w:color="auto" w:fill="auto"/>
          </w:tcPr>
          <w:p w14:paraId="130D9ED9" w14:textId="77777777" w:rsidR="002E5317" w:rsidRPr="00C11B0F" w:rsidRDefault="002D18D1" w:rsidP="002566F1">
            <w:pPr>
              <w:rPr>
                <w:rFonts w:ascii="Arial" w:hAnsi="Arial" w:cs="Arial"/>
                <w:sz w:val="22"/>
                <w:szCs w:val="22"/>
              </w:rPr>
            </w:pPr>
            <w:r w:rsidRPr="00C11B0F">
              <w:rPr>
                <w:rFonts w:ascii="Arial" w:hAnsi="Arial" w:cs="Arial"/>
                <w:noProof/>
                <w:sz w:val="22"/>
                <w:szCs w:val="22"/>
              </w:rPr>
              <w:drawing>
                <wp:inline distT="0" distB="0" distL="0" distR="0" wp14:anchorId="5B18BD47" wp14:editId="5F2230E5">
                  <wp:extent cx="15621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277" t="20441" r="18558" b="23648"/>
                          <a:stretch>
                            <a:fillRect/>
                          </a:stretch>
                        </pic:blipFill>
                        <pic:spPr bwMode="auto">
                          <a:xfrm>
                            <a:off x="0" y="0"/>
                            <a:ext cx="1562100" cy="1104900"/>
                          </a:xfrm>
                          <a:prstGeom prst="rect">
                            <a:avLst/>
                          </a:prstGeom>
                          <a:noFill/>
                          <a:ln>
                            <a:noFill/>
                          </a:ln>
                        </pic:spPr>
                      </pic:pic>
                    </a:graphicData>
                  </a:graphic>
                </wp:inline>
              </w:drawing>
            </w:r>
          </w:p>
        </w:tc>
        <w:tc>
          <w:tcPr>
            <w:tcW w:w="7092" w:type="dxa"/>
            <w:shd w:val="clear" w:color="auto" w:fill="auto"/>
          </w:tcPr>
          <w:p w14:paraId="0C93A08F" w14:textId="77777777" w:rsidR="002E5317" w:rsidRPr="00C11B0F" w:rsidRDefault="002E5317" w:rsidP="008F776B">
            <w:pPr>
              <w:rPr>
                <w:rFonts w:ascii="Arial" w:hAnsi="Arial" w:cs="Arial"/>
                <w:b/>
                <w:sz w:val="22"/>
                <w:szCs w:val="22"/>
              </w:rPr>
            </w:pPr>
          </w:p>
          <w:p w14:paraId="16834A7E" w14:textId="77777777" w:rsidR="002E5317" w:rsidRPr="00C11B0F" w:rsidRDefault="002E5317" w:rsidP="008F776B">
            <w:pPr>
              <w:jc w:val="right"/>
              <w:rPr>
                <w:rFonts w:ascii="Arial" w:hAnsi="Arial" w:cs="Arial"/>
                <w:b/>
                <w:sz w:val="40"/>
                <w:szCs w:val="40"/>
              </w:rPr>
            </w:pPr>
            <w:r w:rsidRPr="00C11B0F">
              <w:rPr>
                <w:rFonts w:ascii="Arial" w:hAnsi="Arial" w:cs="Arial"/>
                <w:b/>
                <w:sz w:val="40"/>
                <w:szCs w:val="40"/>
              </w:rPr>
              <w:t>Role Profile</w:t>
            </w:r>
          </w:p>
          <w:p w14:paraId="45CD949F" w14:textId="26E9E335" w:rsidR="002E5317" w:rsidRPr="00C11B0F" w:rsidRDefault="00D50857" w:rsidP="00E75233">
            <w:pPr>
              <w:jc w:val="right"/>
              <w:rPr>
                <w:rFonts w:ascii="Arial" w:hAnsi="Arial" w:cs="Arial"/>
                <w:b/>
                <w:sz w:val="22"/>
                <w:szCs w:val="22"/>
              </w:rPr>
            </w:pPr>
            <w:r w:rsidRPr="00C11B0F">
              <w:rPr>
                <w:rFonts w:ascii="Arial" w:hAnsi="Arial" w:cs="Arial"/>
                <w:b/>
                <w:sz w:val="40"/>
                <w:szCs w:val="40"/>
              </w:rPr>
              <w:t xml:space="preserve"> 202</w:t>
            </w:r>
            <w:r w:rsidR="00C11B0F" w:rsidRPr="00C11B0F">
              <w:rPr>
                <w:rFonts w:ascii="Arial" w:hAnsi="Arial" w:cs="Arial"/>
                <w:b/>
                <w:sz w:val="40"/>
                <w:szCs w:val="40"/>
              </w:rPr>
              <w:t>5</w:t>
            </w:r>
            <w:r w:rsidR="002E5317" w:rsidRPr="00C11B0F">
              <w:rPr>
                <w:rFonts w:ascii="Arial" w:hAnsi="Arial" w:cs="Arial"/>
                <w:b/>
                <w:sz w:val="22"/>
                <w:szCs w:val="22"/>
              </w:rPr>
              <w:t xml:space="preserve"> </w:t>
            </w:r>
          </w:p>
        </w:tc>
      </w:tr>
      <w:tr w:rsidR="00262CF7" w14:paraId="765A1276" w14:textId="77777777" w:rsidTr="0002206D">
        <w:trPr>
          <w:trHeight w:val="20"/>
        </w:trPr>
        <w:tc>
          <w:tcPr>
            <w:tcW w:w="2808" w:type="dxa"/>
          </w:tcPr>
          <w:p w14:paraId="69C39343" w14:textId="77777777" w:rsidR="00262CF7" w:rsidRPr="00C11B0F" w:rsidRDefault="00262CF7"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Job Title:</w:t>
            </w:r>
          </w:p>
        </w:tc>
        <w:tc>
          <w:tcPr>
            <w:tcW w:w="7092" w:type="dxa"/>
          </w:tcPr>
          <w:p w14:paraId="0EF55F6A" w14:textId="77777777" w:rsidR="00262CF7" w:rsidRPr="00C11B0F" w:rsidRDefault="004067CB" w:rsidP="00BF4E65">
            <w:pPr>
              <w:pStyle w:val="Bullet-noindent"/>
              <w:numPr>
                <w:ilvl w:val="0"/>
                <w:numId w:val="0"/>
              </w:numPr>
              <w:spacing w:before="60" w:after="60"/>
              <w:jc w:val="both"/>
              <w:rPr>
                <w:rFonts w:ascii="Arial" w:hAnsi="Arial" w:cs="Arial"/>
                <w:b/>
                <w:sz w:val="22"/>
                <w:szCs w:val="22"/>
              </w:rPr>
            </w:pPr>
            <w:r w:rsidRPr="00C11B0F">
              <w:rPr>
                <w:rFonts w:ascii="Arial" w:hAnsi="Arial" w:cs="Arial"/>
                <w:b/>
                <w:sz w:val="22"/>
                <w:szCs w:val="22"/>
              </w:rPr>
              <w:t xml:space="preserve">Service Charge </w:t>
            </w:r>
            <w:r w:rsidR="00C641A8" w:rsidRPr="00C11B0F">
              <w:rPr>
                <w:rFonts w:ascii="Arial" w:hAnsi="Arial" w:cs="Arial"/>
                <w:b/>
                <w:sz w:val="22"/>
                <w:szCs w:val="22"/>
              </w:rPr>
              <w:t>Accountant</w:t>
            </w:r>
          </w:p>
        </w:tc>
      </w:tr>
      <w:tr w:rsidR="00262CF7" w14:paraId="523C36D3" w14:textId="77777777" w:rsidTr="0002206D">
        <w:trPr>
          <w:trHeight w:val="20"/>
        </w:trPr>
        <w:tc>
          <w:tcPr>
            <w:tcW w:w="2808" w:type="dxa"/>
          </w:tcPr>
          <w:p w14:paraId="78833878" w14:textId="77777777" w:rsidR="00262CF7" w:rsidRPr="00C11B0F" w:rsidRDefault="00262CF7"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Report</w:t>
            </w:r>
            <w:r w:rsidR="002566F1" w:rsidRPr="00C11B0F">
              <w:rPr>
                <w:rFonts w:ascii="Arial" w:hAnsi="Arial" w:cs="Arial"/>
                <w:b/>
                <w:sz w:val="22"/>
                <w:szCs w:val="22"/>
              </w:rPr>
              <w:t>s</w:t>
            </w:r>
            <w:r w:rsidRPr="00C11B0F">
              <w:rPr>
                <w:rFonts w:ascii="Arial" w:hAnsi="Arial" w:cs="Arial"/>
                <w:b/>
                <w:sz w:val="22"/>
                <w:szCs w:val="22"/>
              </w:rPr>
              <w:t xml:space="preserve"> </w:t>
            </w:r>
            <w:r w:rsidR="002566F1" w:rsidRPr="00C11B0F">
              <w:rPr>
                <w:rFonts w:ascii="Arial" w:hAnsi="Arial" w:cs="Arial"/>
                <w:b/>
                <w:sz w:val="22"/>
                <w:szCs w:val="22"/>
              </w:rPr>
              <w:t>int</w:t>
            </w:r>
            <w:r w:rsidRPr="00C11B0F">
              <w:rPr>
                <w:rFonts w:ascii="Arial" w:hAnsi="Arial" w:cs="Arial"/>
                <w:b/>
                <w:sz w:val="22"/>
                <w:szCs w:val="22"/>
              </w:rPr>
              <w:t>o:</w:t>
            </w:r>
          </w:p>
        </w:tc>
        <w:tc>
          <w:tcPr>
            <w:tcW w:w="7092" w:type="dxa"/>
          </w:tcPr>
          <w:p w14:paraId="5D1A3A52" w14:textId="78DB39FF" w:rsidR="00262CF7" w:rsidRPr="00C11B0F" w:rsidRDefault="00D50857" w:rsidP="0002206D">
            <w:pPr>
              <w:pStyle w:val="Bullet-noindent"/>
              <w:numPr>
                <w:ilvl w:val="0"/>
                <w:numId w:val="0"/>
              </w:numPr>
              <w:spacing w:before="60" w:after="60"/>
              <w:jc w:val="both"/>
              <w:rPr>
                <w:rFonts w:ascii="Arial" w:hAnsi="Arial" w:cs="Arial"/>
                <w:sz w:val="22"/>
                <w:szCs w:val="22"/>
              </w:rPr>
            </w:pPr>
            <w:r w:rsidRPr="00C11B0F">
              <w:rPr>
                <w:rFonts w:ascii="Arial" w:hAnsi="Arial" w:cs="Arial"/>
                <w:sz w:val="22"/>
                <w:szCs w:val="22"/>
              </w:rPr>
              <w:t>Director of Finance &amp; Resources</w:t>
            </w:r>
          </w:p>
        </w:tc>
      </w:tr>
      <w:tr w:rsidR="009E5D35" w14:paraId="6FB81310" w14:textId="77777777" w:rsidTr="00537337">
        <w:trPr>
          <w:trHeight w:val="20"/>
        </w:trPr>
        <w:tc>
          <w:tcPr>
            <w:tcW w:w="2808" w:type="dxa"/>
          </w:tcPr>
          <w:p w14:paraId="6B103117" w14:textId="77777777" w:rsidR="009E5D35" w:rsidRPr="00C11B0F" w:rsidRDefault="002566F1"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 xml:space="preserve">Direct </w:t>
            </w:r>
            <w:r w:rsidR="009E5D35" w:rsidRPr="00C11B0F">
              <w:rPr>
                <w:rFonts w:ascii="Arial" w:hAnsi="Arial" w:cs="Arial"/>
                <w:b/>
                <w:sz w:val="22"/>
                <w:szCs w:val="22"/>
              </w:rPr>
              <w:t>Reports</w:t>
            </w:r>
            <w:r w:rsidRPr="00C11B0F">
              <w:rPr>
                <w:rFonts w:ascii="Arial" w:hAnsi="Arial" w:cs="Arial"/>
                <w:b/>
                <w:sz w:val="22"/>
                <w:szCs w:val="22"/>
              </w:rPr>
              <w:t>:</w:t>
            </w:r>
          </w:p>
        </w:tc>
        <w:tc>
          <w:tcPr>
            <w:tcW w:w="7092" w:type="dxa"/>
            <w:vAlign w:val="center"/>
          </w:tcPr>
          <w:p w14:paraId="67382388" w14:textId="77777777" w:rsidR="00AF11CF" w:rsidRPr="00C11B0F" w:rsidRDefault="004067CB" w:rsidP="00537337">
            <w:pPr>
              <w:pStyle w:val="Bullet-noindent"/>
              <w:numPr>
                <w:ilvl w:val="0"/>
                <w:numId w:val="0"/>
              </w:numPr>
              <w:rPr>
                <w:rFonts w:ascii="Arial" w:hAnsi="Arial" w:cs="Arial"/>
                <w:sz w:val="22"/>
                <w:szCs w:val="22"/>
              </w:rPr>
            </w:pPr>
            <w:r w:rsidRPr="00C11B0F">
              <w:rPr>
                <w:rFonts w:ascii="Arial" w:hAnsi="Arial" w:cs="Arial"/>
                <w:sz w:val="22"/>
                <w:szCs w:val="22"/>
              </w:rPr>
              <w:t>None</w:t>
            </w:r>
          </w:p>
        </w:tc>
      </w:tr>
      <w:tr w:rsidR="002566F1" w14:paraId="7C8467A4" w14:textId="77777777" w:rsidTr="0002206D">
        <w:trPr>
          <w:trHeight w:val="20"/>
        </w:trPr>
        <w:tc>
          <w:tcPr>
            <w:tcW w:w="2808" w:type="dxa"/>
          </w:tcPr>
          <w:p w14:paraId="03C033EB" w14:textId="77777777" w:rsidR="002566F1" w:rsidRPr="00C11B0F" w:rsidRDefault="002566F1"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Department/ Location:</w:t>
            </w:r>
          </w:p>
        </w:tc>
        <w:tc>
          <w:tcPr>
            <w:tcW w:w="7092" w:type="dxa"/>
          </w:tcPr>
          <w:p w14:paraId="7F946F72" w14:textId="77777777" w:rsidR="002566F1" w:rsidRPr="00C11B0F" w:rsidRDefault="002566F1" w:rsidP="0002206D">
            <w:pPr>
              <w:pStyle w:val="Bullet-noindent"/>
              <w:numPr>
                <w:ilvl w:val="0"/>
                <w:numId w:val="0"/>
              </w:numPr>
              <w:spacing w:before="60" w:after="60"/>
              <w:jc w:val="both"/>
              <w:rPr>
                <w:rFonts w:ascii="Arial" w:hAnsi="Arial" w:cs="Arial"/>
                <w:sz w:val="22"/>
                <w:szCs w:val="22"/>
              </w:rPr>
            </w:pPr>
            <w:r w:rsidRPr="00C11B0F">
              <w:rPr>
                <w:rFonts w:ascii="Arial" w:hAnsi="Arial" w:cs="Arial"/>
                <w:sz w:val="22"/>
                <w:szCs w:val="22"/>
              </w:rPr>
              <w:t>Stockwell</w:t>
            </w:r>
          </w:p>
        </w:tc>
      </w:tr>
      <w:tr w:rsidR="00262CF7" w14:paraId="0A6857C8" w14:textId="77777777" w:rsidTr="0002206D">
        <w:trPr>
          <w:trHeight w:val="20"/>
        </w:trPr>
        <w:tc>
          <w:tcPr>
            <w:tcW w:w="2808" w:type="dxa"/>
          </w:tcPr>
          <w:p w14:paraId="7E88E8E6" w14:textId="77777777" w:rsidR="00262CF7" w:rsidRPr="00C11B0F" w:rsidRDefault="00262CF7"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Disclosure Level:</w:t>
            </w:r>
          </w:p>
        </w:tc>
        <w:tc>
          <w:tcPr>
            <w:tcW w:w="7092" w:type="dxa"/>
          </w:tcPr>
          <w:p w14:paraId="655BB62A" w14:textId="141D1302" w:rsidR="00262CF7" w:rsidRPr="00C11B0F" w:rsidRDefault="00D50857" w:rsidP="0002206D">
            <w:pPr>
              <w:pStyle w:val="Bullet-noindent"/>
              <w:numPr>
                <w:ilvl w:val="0"/>
                <w:numId w:val="0"/>
              </w:numPr>
              <w:spacing w:before="60" w:after="60"/>
              <w:jc w:val="both"/>
              <w:rPr>
                <w:rFonts w:ascii="Arial" w:hAnsi="Arial" w:cs="Arial"/>
                <w:sz w:val="22"/>
                <w:szCs w:val="22"/>
              </w:rPr>
            </w:pPr>
            <w:r w:rsidRPr="00C11B0F">
              <w:rPr>
                <w:rFonts w:ascii="Arial" w:hAnsi="Arial" w:cs="Arial"/>
                <w:sz w:val="22"/>
                <w:szCs w:val="22"/>
              </w:rPr>
              <w:t>Basic</w:t>
            </w:r>
          </w:p>
        </w:tc>
      </w:tr>
      <w:tr w:rsidR="00C11B0F" w14:paraId="6EE8FC33" w14:textId="77777777" w:rsidTr="0002206D">
        <w:tc>
          <w:tcPr>
            <w:tcW w:w="2808" w:type="dxa"/>
          </w:tcPr>
          <w:p w14:paraId="57EE8815" w14:textId="4178F456" w:rsidR="00C11B0F" w:rsidRPr="00C11B0F" w:rsidRDefault="00C11B0F"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Candidate Overview</w:t>
            </w:r>
          </w:p>
        </w:tc>
        <w:tc>
          <w:tcPr>
            <w:tcW w:w="7092" w:type="dxa"/>
          </w:tcPr>
          <w:p w14:paraId="74E777B9" w14:textId="76C5E96E" w:rsidR="00C11B0F" w:rsidRPr="00C11B0F" w:rsidRDefault="00C11B0F" w:rsidP="00C11B0F">
            <w:pPr>
              <w:spacing w:before="100" w:beforeAutospacing="1" w:after="100" w:afterAutospacing="1"/>
              <w:rPr>
                <w:rFonts w:ascii="Arial" w:hAnsi="Arial" w:cs="Arial"/>
                <w:sz w:val="22"/>
                <w:szCs w:val="22"/>
              </w:rPr>
            </w:pPr>
            <w:r w:rsidRPr="00C11B0F">
              <w:rPr>
                <w:rFonts w:ascii="Arial" w:hAnsi="Arial" w:cs="Arial"/>
                <w:sz w:val="22"/>
                <w:szCs w:val="22"/>
              </w:rPr>
              <w:t xml:space="preserve">We are seeking a detail-oriented and experienced </w:t>
            </w:r>
            <w:r w:rsidRPr="00C11B0F">
              <w:rPr>
                <w:rStyle w:val="Strong"/>
                <w:rFonts w:ascii="Arial" w:hAnsi="Arial" w:cs="Arial"/>
                <w:sz w:val="22"/>
                <w:szCs w:val="22"/>
              </w:rPr>
              <w:t>Service Charge Accountant</w:t>
            </w:r>
            <w:r w:rsidRPr="00C11B0F">
              <w:rPr>
                <w:rFonts w:ascii="Arial" w:hAnsi="Arial" w:cs="Arial"/>
                <w:sz w:val="22"/>
                <w:szCs w:val="22"/>
              </w:rPr>
              <w:t xml:space="preserve"> to manage and oversee all financial activities related to service charge accounts. The successful candidate will ensure accurate budgeting, timely reconciliation, and compliance with relevant regulations for service charge funds, primarily within a residential property portfolio.</w:t>
            </w:r>
          </w:p>
        </w:tc>
      </w:tr>
      <w:tr w:rsidR="00262CF7" w14:paraId="06838B0E" w14:textId="77777777" w:rsidTr="0002206D">
        <w:tc>
          <w:tcPr>
            <w:tcW w:w="2808" w:type="dxa"/>
          </w:tcPr>
          <w:p w14:paraId="5FFC440F" w14:textId="77777777" w:rsidR="00262CF7" w:rsidRPr="00C11B0F" w:rsidRDefault="00392ED6" w:rsidP="00E93D16">
            <w:pPr>
              <w:pStyle w:val="Bullet-noindent"/>
              <w:numPr>
                <w:ilvl w:val="0"/>
                <w:numId w:val="0"/>
              </w:numPr>
              <w:spacing w:before="60" w:after="60"/>
              <w:ind w:left="180"/>
              <w:jc w:val="both"/>
              <w:rPr>
                <w:rFonts w:ascii="Arial" w:hAnsi="Arial" w:cs="Arial"/>
                <w:b/>
                <w:sz w:val="22"/>
                <w:szCs w:val="22"/>
              </w:rPr>
            </w:pPr>
            <w:r w:rsidRPr="00C11B0F">
              <w:rPr>
                <w:rFonts w:ascii="Arial" w:hAnsi="Arial" w:cs="Arial"/>
                <w:b/>
                <w:sz w:val="22"/>
                <w:szCs w:val="22"/>
              </w:rPr>
              <w:t xml:space="preserve">Role </w:t>
            </w:r>
            <w:r w:rsidR="00262CF7" w:rsidRPr="00C11B0F">
              <w:rPr>
                <w:rFonts w:ascii="Arial" w:hAnsi="Arial" w:cs="Arial"/>
                <w:b/>
                <w:sz w:val="22"/>
                <w:szCs w:val="22"/>
              </w:rPr>
              <w:t>Purpose:</w:t>
            </w:r>
          </w:p>
        </w:tc>
        <w:tc>
          <w:tcPr>
            <w:tcW w:w="7092" w:type="dxa"/>
          </w:tcPr>
          <w:p w14:paraId="6BCBDA53" w14:textId="306727C9" w:rsidR="00F56A0A" w:rsidRPr="00C11B0F" w:rsidRDefault="00B426F0" w:rsidP="004067CB">
            <w:pPr>
              <w:spacing w:before="60" w:after="60"/>
              <w:jc w:val="both"/>
              <w:rPr>
                <w:rFonts w:ascii="Arial" w:hAnsi="Arial" w:cs="Arial"/>
                <w:sz w:val="22"/>
                <w:szCs w:val="22"/>
              </w:rPr>
            </w:pPr>
            <w:r w:rsidRPr="00C11B0F">
              <w:rPr>
                <w:rFonts w:ascii="Arial" w:hAnsi="Arial" w:cs="Arial"/>
                <w:sz w:val="22"/>
                <w:szCs w:val="22"/>
              </w:rPr>
              <w:t>P</w:t>
            </w:r>
            <w:r w:rsidR="004067CB" w:rsidRPr="00C11B0F">
              <w:rPr>
                <w:rFonts w:ascii="Arial" w:hAnsi="Arial" w:cs="Arial"/>
                <w:sz w:val="22"/>
                <w:szCs w:val="22"/>
              </w:rPr>
              <w:t>rovide a comprehensive, high quality</w:t>
            </w:r>
            <w:r w:rsidR="008F1F91" w:rsidRPr="00C11B0F">
              <w:rPr>
                <w:rFonts w:ascii="Arial" w:hAnsi="Arial" w:cs="Arial"/>
                <w:sz w:val="22"/>
                <w:szCs w:val="22"/>
              </w:rPr>
              <w:t>,</w:t>
            </w:r>
            <w:r w:rsidR="004067CB" w:rsidRPr="00C11B0F">
              <w:rPr>
                <w:rFonts w:ascii="Arial" w:hAnsi="Arial" w:cs="Arial"/>
                <w:sz w:val="22"/>
                <w:szCs w:val="22"/>
              </w:rPr>
              <w:t xml:space="preserve"> customer effective charge management service to SW9 residents on behalf of </w:t>
            </w:r>
            <w:r w:rsidR="00D50857" w:rsidRPr="00C11B0F">
              <w:rPr>
                <w:rFonts w:ascii="Arial" w:hAnsi="Arial" w:cs="Arial"/>
                <w:sz w:val="22"/>
                <w:szCs w:val="22"/>
              </w:rPr>
              <w:t>SNG</w:t>
            </w:r>
            <w:r w:rsidR="004067CB" w:rsidRPr="00C11B0F">
              <w:rPr>
                <w:rFonts w:ascii="Arial" w:hAnsi="Arial" w:cs="Arial"/>
                <w:sz w:val="22"/>
                <w:szCs w:val="22"/>
              </w:rPr>
              <w:t xml:space="preserve"> in compliance with the Landlord and Tenant Act 1985 (as amended) and other relevant legislation</w:t>
            </w:r>
            <w:r w:rsidR="00F56A0A" w:rsidRPr="00C11B0F">
              <w:rPr>
                <w:rFonts w:ascii="Arial" w:hAnsi="Arial" w:cs="Arial"/>
                <w:sz w:val="22"/>
                <w:szCs w:val="22"/>
              </w:rPr>
              <w:t>.</w:t>
            </w:r>
          </w:p>
        </w:tc>
      </w:tr>
      <w:tr w:rsidR="00262CF7" w14:paraId="13669154" w14:textId="77777777" w:rsidTr="00392ED6">
        <w:trPr>
          <w:trHeight w:val="249"/>
        </w:trPr>
        <w:tc>
          <w:tcPr>
            <w:tcW w:w="9900" w:type="dxa"/>
            <w:gridSpan w:val="2"/>
          </w:tcPr>
          <w:p w14:paraId="7F7A56F2" w14:textId="77777777" w:rsidR="00E93D16" w:rsidRPr="00C11B0F" w:rsidRDefault="00392ED6" w:rsidP="00E93D16">
            <w:pPr>
              <w:pStyle w:val="Bullet-noindent"/>
              <w:numPr>
                <w:ilvl w:val="0"/>
                <w:numId w:val="0"/>
              </w:numPr>
              <w:spacing w:before="60" w:after="60"/>
              <w:jc w:val="both"/>
              <w:rPr>
                <w:rFonts w:ascii="Arial" w:hAnsi="Arial" w:cs="Arial"/>
                <w:b/>
                <w:sz w:val="22"/>
                <w:szCs w:val="22"/>
              </w:rPr>
            </w:pPr>
            <w:r w:rsidRPr="00C11B0F">
              <w:rPr>
                <w:rFonts w:ascii="Arial" w:hAnsi="Arial" w:cs="Arial"/>
                <w:b/>
                <w:sz w:val="22"/>
                <w:szCs w:val="22"/>
              </w:rPr>
              <w:t>Key accountabilities</w:t>
            </w:r>
          </w:p>
        </w:tc>
      </w:tr>
      <w:tr w:rsidR="00634CF2" w14:paraId="7FBACEF4" w14:textId="77777777" w:rsidTr="004813B7">
        <w:trPr>
          <w:trHeight w:val="1404"/>
        </w:trPr>
        <w:tc>
          <w:tcPr>
            <w:tcW w:w="9900" w:type="dxa"/>
            <w:gridSpan w:val="2"/>
          </w:tcPr>
          <w:p w14:paraId="1F6CA23F" w14:textId="77777777" w:rsidR="00C11B0F" w:rsidRPr="00C11B0F" w:rsidRDefault="00C11B0F" w:rsidP="00EC6706">
            <w:pPr>
              <w:outlineLvl w:val="3"/>
              <w:rPr>
                <w:rFonts w:ascii="Arial" w:hAnsi="Arial" w:cs="Arial"/>
                <w:b/>
                <w:bCs/>
                <w:sz w:val="22"/>
                <w:szCs w:val="22"/>
              </w:rPr>
            </w:pPr>
            <w:bookmarkStart w:id="0" w:name="_Hlk196388719"/>
            <w:r w:rsidRPr="00C11B0F">
              <w:rPr>
                <w:rFonts w:ascii="Arial" w:hAnsi="Arial" w:cs="Arial"/>
                <w:b/>
                <w:bCs/>
                <w:sz w:val="22"/>
                <w:szCs w:val="22"/>
              </w:rPr>
              <w:t>Budgeting &amp; Financial Reporting</w:t>
            </w:r>
          </w:p>
          <w:p w14:paraId="25990D33" w14:textId="77777777" w:rsidR="00C11B0F" w:rsidRPr="00C11B0F" w:rsidRDefault="00C11B0F" w:rsidP="00EC6706">
            <w:pPr>
              <w:numPr>
                <w:ilvl w:val="0"/>
                <w:numId w:val="8"/>
              </w:numPr>
              <w:rPr>
                <w:rFonts w:ascii="Arial" w:hAnsi="Arial" w:cs="Arial"/>
                <w:sz w:val="22"/>
                <w:szCs w:val="22"/>
              </w:rPr>
            </w:pPr>
            <w:r w:rsidRPr="00C11B0F">
              <w:rPr>
                <w:rFonts w:ascii="Arial" w:hAnsi="Arial" w:cs="Arial"/>
                <w:sz w:val="22"/>
                <w:szCs w:val="22"/>
              </w:rPr>
              <w:t>Prepare and reconcile annual service charge budgets and actuals.</w:t>
            </w:r>
          </w:p>
          <w:p w14:paraId="7B9C2DD9" w14:textId="77777777" w:rsidR="00C11B0F" w:rsidRPr="00C11B0F" w:rsidRDefault="00C11B0F" w:rsidP="00EC6706">
            <w:pPr>
              <w:numPr>
                <w:ilvl w:val="0"/>
                <w:numId w:val="8"/>
              </w:numPr>
              <w:rPr>
                <w:rFonts w:ascii="Arial" w:hAnsi="Arial" w:cs="Arial"/>
                <w:sz w:val="22"/>
                <w:szCs w:val="22"/>
              </w:rPr>
            </w:pPr>
            <w:r w:rsidRPr="00C11B0F">
              <w:rPr>
                <w:rFonts w:ascii="Arial" w:hAnsi="Arial" w:cs="Arial"/>
                <w:sz w:val="22"/>
                <w:szCs w:val="22"/>
              </w:rPr>
              <w:t>Produce and issue year-end service charge accounts in line with lease agreements and statutory guidelines (Landlord and Tenant Act 1985).</w:t>
            </w:r>
          </w:p>
          <w:p w14:paraId="3197D33F" w14:textId="77777777" w:rsidR="00C11B0F" w:rsidRPr="00C11B0F" w:rsidRDefault="00C11B0F" w:rsidP="00EC6706">
            <w:pPr>
              <w:numPr>
                <w:ilvl w:val="0"/>
                <w:numId w:val="8"/>
              </w:numPr>
              <w:rPr>
                <w:rFonts w:ascii="Arial" w:hAnsi="Arial" w:cs="Arial"/>
                <w:sz w:val="22"/>
                <w:szCs w:val="22"/>
              </w:rPr>
            </w:pPr>
            <w:r w:rsidRPr="00C11B0F">
              <w:rPr>
                <w:rFonts w:ascii="Arial" w:hAnsi="Arial" w:cs="Arial"/>
                <w:sz w:val="22"/>
                <w:szCs w:val="22"/>
              </w:rPr>
              <w:t>Manage and report on reserve funds, ensuring correct contributions and balances.</w:t>
            </w:r>
          </w:p>
          <w:p w14:paraId="288FE3A4" w14:textId="77777777" w:rsidR="00C11B0F" w:rsidRPr="00C11B0F" w:rsidRDefault="00C11B0F" w:rsidP="00EC6706">
            <w:pPr>
              <w:numPr>
                <w:ilvl w:val="0"/>
                <w:numId w:val="8"/>
              </w:numPr>
              <w:rPr>
                <w:rFonts w:ascii="Arial" w:hAnsi="Arial" w:cs="Arial"/>
                <w:sz w:val="22"/>
                <w:szCs w:val="22"/>
              </w:rPr>
            </w:pPr>
            <w:r w:rsidRPr="00C11B0F">
              <w:rPr>
                <w:rFonts w:ascii="Arial" w:hAnsi="Arial" w:cs="Arial"/>
                <w:sz w:val="22"/>
                <w:szCs w:val="22"/>
              </w:rPr>
              <w:t>Monitor expenditure, compare against budgets, and post adjustments as needed.</w:t>
            </w:r>
          </w:p>
          <w:p w14:paraId="331CD68E" w14:textId="77777777" w:rsidR="00C11B0F" w:rsidRPr="00C11B0F" w:rsidRDefault="00C11B0F" w:rsidP="00EC6706">
            <w:pPr>
              <w:numPr>
                <w:ilvl w:val="0"/>
                <w:numId w:val="8"/>
              </w:numPr>
              <w:rPr>
                <w:rFonts w:ascii="Arial" w:hAnsi="Arial" w:cs="Arial"/>
                <w:sz w:val="22"/>
                <w:szCs w:val="22"/>
              </w:rPr>
            </w:pPr>
            <w:r w:rsidRPr="00C11B0F">
              <w:rPr>
                <w:rFonts w:ascii="Arial" w:hAnsi="Arial" w:cs="Arial"/>
                <w:sz w:val="22"/>
                <w:szCs w:val="22"/>
              </w:rPr>
              <w:t>Provide service charge budgets for new developments at design stage.</w:t>
            </w:r>
          </w:p>
          <w:p w14:paraId="6231A834" w14:textId="77777777" w:rsidR="00EC6706" w:rsidRDefault="00EC6706" w:rsidP="00EC6706">
            <w:pPr>
              <w:outlineLvl w:val="3"/>
              <w:rPr>
                <w:rFonts w:ascii="Arial" w:hAnsi="Arial" w:cs="Arial"/>
                <w:b/>
                <w:bCs/>
                <w:sz w:val="22"/>
                <w:szCs w:val="22"/>
              </w:rPr>
            </w:pPr>
          </w:p>
          <w:p w14:paraId="745FE677" w14:textId="24D388BE" w:rsidR="00C11B0F" w:rsidRPr="00C11B0F" w:rsidRDefault="00C11B0F" w:rsidP="00EC6706">
            <w:pPr>
              <w:outlineLvl w:val="3"/>
              <w:rPr>
                <w:rFonts w:ascii="Arial" w:hAnsi="Arial" w:cs="Arial"/>
                <w:b/>
                <w:bCs/>
                <w:sz w:val="22"/>
                <w:szCs w:val="22"/>
              </w:rPr>
            </w:pPr>
            <w:r w:rsidRPr="00C11B0F">
              <w:rPr>
                <w:rFonts w:ascii="Arial" w:hAnsi="Arial" w:cs="Arial"/>
                <w:b/>
                <w:bCs/>
                <w:sz w:val="22"/>
                <w:szCs w:val="22"/>
              </w:rPr>
              <w:t>Billing &amp; System Management</w:t>
            </w:r>
          </w:p>
          <w:p w14:paraId="1E195E1E" w14:textId="77777777" w:rsidR="00C11B0F" w:rsidRPr="00C11B0F" w:rsidRDefault="00C11B0F" w:rsidP="00EC6706">
            <w:pPr>
              <w:numPr>
                <w:ilvl w:val="0"/>
                <w:numId w:val="9"/>
              </w:numPr>
              <w:rPr>
                <w:rFonts w:ascii="Arial" w:hAnsi="Arial" w:cs="Arial"/>
                <w:sz w:val="22"/>
                <w:szCs w:val="22"/>
              </w:rPr>
            </w:pPr>
            <w:r w:rsidRPr="00C11B0F">
              <w:rPr>
                <w:rFonts w:ascii="Arial" w:hAnsi="Arial" w:cs="Arial"/>
                <w:sz w:val="22"/>
                <w:szCs w:val="22"/>
              </w:rPr>
              <w:t>Calculate and issue service charge estimates, actuals, major works charges, and ground rent in line with lease terms and within set timescales.</w:t>
            </w:r>
          </w:p>
          <w:p w14:paraId="4E3C542D" w14:textId="77777777" w:rsidR="00C11B0F" w:rsidRPr="00C11B0F" w:rsidRDefault="00C11B0F" w:rsidP="00EC6706">
            <w:pPr>
              <w:numPr>
                <w:ilvl w:val="0"/>
                <w:numId w:val="9"/>
              </w:numPr>
              <w:rPr>
                <w:rFonts w:ascii="Arial" w:hAnsi="Arial" w:cs="Arial"/>
                <w:sz w:val="22"/>
                <w:szCs w:val="22"/>
              </w:rPr>
            </w:pPr>
            <w:r w:rsidRPr="00C11B0F">
              <w:rPr>
                <w:rFonts w:ascii="Arial" w:hAnsi="Arial" w:cs="Arial"/>
                <w:sz w:val="22"/>
                <w:szCs w:val="22"/>
              </w:rPr>
              <w:t>Lead on the rent increase process, ensuring accurate calculations and communications.</w:t>
            </w:r>
          </w:p>
          <w:p w14:paraId="7B7633C9" w14:textId="77777777" w:rsidR="00C11B0F" w:rsidRPr="00C11B0F" w:rsidRDefault="00C11B0F" w:rsidP="00EC6706">
            <w:pPr>
              <w:numPr>
                <w:ilvl w:val="0"/>
                <w:numId w:val="9"/>
              </w:numPr>
              <w:rPr>
                <w:rFonts w:ascii="Arial" w:hAnsi="Arial" w:cs="Arial"/>
                <w:sz w:val="22"/>
                <w:szCs w:val="22"/>
              </w:rPr>
            </w:pPr>
            <w:r w:rsidRPr="00C11B0F">
              <w:rPr>
                <w:rFonts w:ascii="Arial" w:hAnsi="Arial" w:cs="Arial"/>
                <w:sz w:val="22"/>
                <w:szCs w:val="22"/>
              </w:rPr>
              <w:t>Troubleshoot and improve service charge billing systems to ensure accuracy and efficiency.</w:t>
            </w:r>
          </w:p>
          <w:p w14:paraId="00ADA660" w14:textId="77777777" w:rsidR="00C11B0F" w:rsidRPr="00C11B0F" w:rsidRDefault="00C11B0F" w:rsidP="00EC6706">
            <w:pPr>
              <w:numPr>
                <w:ilvl w:val="0"/>
                <w:numId w:val="9"/>
              </w:numPr>
              <w:rPr>
                <w:rFonts w:ascii="Arial" w:hAnsi="Arial" w:cs="Arial"/>
                <w:sz w:val="22"/>
                <w:szCs w:val="22"/>
              </w:rPr>
            </w:pPr>
            <w:r w:rsidRPr="00C11B0F">
              <w:rPr>
                <w:rFonts w:ascii="Arial" w:hAnsi="Arial" w:cs="Arial"/>
                <w:sz w:val="22"/>
                <w:szCs w:val="22"/>
              </w:rPr>
              <w:t>Maintain service charge ledgers and ensure accurate postings in financial systems.</w:t>
            </w:r>
          </w:p>
          <w:p w14:paraId="1F3B6E9F" w14:textId="77777777" w:rsidR="00EC6706" w:rsidRDefault="00EC6706" w:rsidP="00EC6706">
            <w:pPr>
              <w:outlineLvl w:val="3"/>
              <w:rPr>
                <w:rFonts w:ascii="Arial" w:hAnsi="Arial" w:cs="Arial"/>
                <w:b/>
                <w:bCs/>
                <w:sz w:val="22"/>
                <w:szCs w:val="22"/>
              </w:rPr>
            </w:pPr>
          </w:p>
          <w:p w14:paraId="2CBCA444" w14:textId="260EC229" w:rsidR="0038693C" w:rsidRDefault="00C11B0F" w:rsidP="00EC6706">
            <w:pPr>
              <w:outlineLvl w:val="3"/>
              <w:rPr>
                <w:rFonts w:ascii="Arial" w:hAnsi="Arial" w:cs="Arial"/>
                <w:b/>
                <w:bCs/>
                <w:sz w:val="22"/>
                <w:szCs w:val="22"/>
              </w:rPr>
            </w:pPr>
            <w:r w:rsidRPr="00C11B0F">
              <w:rPr>
                <w:rFonts w:ascii="Arial" w:hAnsi="Arial" w:cs="Arial"/>
                <w:b/>
                <w:bCs/>
                <w:sz w:val="22"/>
                <w:szCs w:val="22"/>
              </w:rPr>
              <w:t>Stakeholder Engagement &amp; Queries</w:t>
            </w:r>
          </w:p>
          <w:p w14:paraId="403A14D1" w14:textId="77777777" w:rsidR="0038693C" w:rsidRPr="00F84369" w:rsidRDefault="0038693C" w:rsidP="00EC6706">
            <w:pPr>
              <w:pStyle w:val="ListParagraph"/>
              <w:numPr>
                <w:ilvl w:val="0"/>
                <w:numId w:val="16"/>
              </w:numPr>
              <w:outlineLvl w:val="3"/>
              <w:rPr>
                <w:rFonts w:ascii="Arial" w:hAnsi="Arial" w:cs="Arial"/>
                <w:sz w:val="22"/>
                <w:szCs w:val="22"/>
              </w:rPr>
            </w:pPr>
            <w:r w:rsidRPr="00F84369">
              <w:rPr>
                <w:rFonts w:ascii="Arial" w:hAnsi="Arial" w:cs="Arial"/>
                <w:sz w:val="22"/>
                <w:szCs w:val="22"/>
              </w:rPr>
              <w:t xml:space="preserve">Liaise with SNG to ensure the bank balance is topped up with the correct amounts.  </w:t>
            </w:r>
          </w:p>
          <w:p w14:paraId="20D46A33" w14:textId="5E0D531B" w:rsidR="00C11B0F" w:rsidRPr="00F84369" w:rsidRDefault="0038693C" w:rsidP="00EC6706">
            <w:pPr>
              <w:pStyle w:val="ListParagraph"/>
              <w:numPr>
                <w:ilvl w:val="0"/>
                <w:numId w:val="16"/>
              </w:numPr>
              <w:outlineLvl w:val="3"/>
              <w:rPr>
                <w:rFonts w:ascii="Arial" w:hAnsi="Arial" w:cs="Arial"/>
                <w:b/>
                <w:bCs/>
                <w:sz w:val="22"/>
                <w:szCs w:val="22"/>
              </w:rPr>
            </w:pPr>
            <w:r w:rsidRPr="00F84369">
              <w:rPr>
                <w:rFonts w:ascii="Arial" w:hAnsi="Arial" w:cs="Arial"/>
                <w:sz w:val="22"/>
                <w:szCs w:val="22"/>
              </w:rPr>
              <w:t>Reconcile the individual leaseholder accounts and produce and send out yearly financial statements</w:t>
            </w:r>
          </w:p>
          <w:p w14:paraId="0FFAD849" w14:textId="77777777" w:rsidR="00C11B0F" w:rsidRPr="00C11B0F" w:rsidRDefault="00C11B0F" w:rsidP="00EC6706">
            <w:pPr>
              <w:numPr>
                <w:ilvl w:val="0"/>
                <w:numId w:val="10"/>
              </w:numPr>
              <w:rPr>
                <w:rFonts w:ascii="Arial" w:hAnsi="Arial" w:cs="Arial"/>
                <w:sz w:val="22"/>
                <w:szCs w:val="22"/>
              </w:rPr>
            </w:pPr>
            <w:r w:rsidRPr="00C11B0F">
              <w:rPr>
                <w:rFonts w:ascii="Arial" w:hAnsi="Arial" w:cs="Arial"/>
                <w:sz w:val="22"/>
                <w:szCs w:val="22"/>
              </w:rPr>
              <w:t>Handle leaseholder and tenant queries on service charge estimates, statements, and variances.</w:t>
            </w:r>
          </w:p>
          <w:p w14:paraId="25481883" w14:textId="77777777" w:rsidR="00C11B0F" w:rsidRPr="00C11B0F" w:rsidRDefault="00C11B0F" w:rsidP="00EC6706">
            <w:pPr>
              <w:numPr>
                <w:ilvl w:val="0"/>
                <w:numId w:val="10"/>
              </w:numPr>
              <w:rPr>
                <w:rFonts w:ascii="Arial" w:hAnsi="Arial" w:cs="Arial"/>
                <w:sz w:val="22"/>
                <w:szCs w:val="22"/>
              </w:rPr>
            </w:pPr>
            <w:r w:rsidRPr="00C11B0F">
              <w:rPr>
                <w:rFonts w:ascii="Arial" w:hAnsi="Arial" w:cs="Arial"/>
                <w:sz w:val="22"/>
                <w:szCs w:val="22"/>
              </w:rPr>
              <w:t>Liaise with internal teams (Repairs, Development, Finance) to ensure correct cost allocations and billing for works and new developments.</w:t>
            </w:r>
          </w:p>
          <w:p w14:paraId="59E12D52" w14:textId="77777777" w:rsidR="00C11B0F" w:rsidRPr="00C11B0F" w:rsidRDefault="00C11B0F" w:rsidP="00EC6706">
            <w:pPr>
              <w:numPr>
                <w:ilvl w:val="0"/>
                <w:numId w:val="10"/>
              </w:numPr>
              <w:rPr>
                <w:rFonts w:ascii="Arial" w:hAnsi="Arial" w:cs="Arial"/>
                <w:sz w:val="22"/>
                <w:szCs w:val="22"/>
              </w:rPr>
            </w:pPr>
            <w:r w:rsidRPr="00C11B0F">
              <w:rPr>
                <w:rFonts w:ascii="Arial" w:hAnsi="Arial" w:cs="Arial"/>
                <w:sz w:val="22"/>
                <w:szCs w:val="22"/>
              </w:rPr>
              <w:t>Support internal and external audits, tribunals, and court proceedings with required financial data.</w:t>
            </w:r>
          </w:p>
          <w:p w14:paraId="2E948F2D" w14:textId="0CE6FEFC" w:rsidR="00C11B0F" w:rsidRPr="00C11B0F" w:rsidRDefault="00C11B0F" w:rsidP="00EC6706">
            <w:pPr>
              <w:numPr>
                <w:ilvl w:val="0"/>
                <w:numId w:val="10"/>
              </w:numPr>
              <w:rPr>
                <w:rFonts w:ascii="Arial" w:hAnsi="Arial" w:cs="Arial"/>
                <w:sz w:val="22"/>
                <w:szCs w:val="22"/>
              </w:rPr>
            </w:pPr>
            <w:r w:rsidRPr="00C11B0F">
              <w:rPr>
                <w:rFonts w:ascii="Arial" w:hAnsi="Arial" w:cs="Arial"/>
                <w:sz w:val="22"/>
                <w:szCs w:val="22"/>
              </w:rPr>
              <w:t xml:space="preserve">Collaborate with the Leasehold </w:t>
            </w:r>
            <w:r w:rsidR="005C4AA2">
              <w:rPr>
                <w:rFonts w:ascii="Arial" w:hAnsi="Arial" w:cs="Arial"/>
                <w:sz w:val="22"/>
                <w:szCs w:val="22"/>
              </w:rPr>
              <w:t>Adviser</w:t>
            </w:r>
            <w:r w:rsidRPr="00C11B0F">
              <w:rPr>
                <w:rFonts w:ascii="Arial" w:hAnsi="Arial" w:cs="Arial"/>
                <w:sz w:val="22"/>
                <w:szCs w:val="22"/>
              </w:rPr>
              <w:t xml:space="preserve"> to improve communication with residents, including welcome packs and service charge handbooks.</w:t>
            </w:r>
          </w:p>
          <w:p w14:paraId="5CCB4D3E" w14:textId="77777777" w:rsidR="00EC6706" w:rsidRDefault="00EC6706" w:rsidP="00EC6706">
            <w:pPr>
              <w:outlineLvl w:val="3"/>
              <w:rPr>
                <w:rFonts w:ascii="Arial" w:hAnsi="Arial" w:cs="Arial"/>
                <w:b/>
                <w:bCs/>
                <w:sz w:val="22"/>
                <w:szCs w:val="22"/>
              </w:rPr>
            </w:pPr>
          </w:p>
          <w:p w14:paraId="14456E31" w14:textId="460F876D" w:rsidR="00C11B0F" w:rsidRPr="00C11B0F" w:rsidRDefault="00C11B0F" w:rsidP="00EC6706">
            <w:pPr>
              <w:outlineLvl w:val="3"/>
              <w:rPr>
                <w:rFonts w:ascii="Arial" w:hAnsi="Arial" w:cs="Arial"/>
                <w:b/>
                <w:bCs/>
                <w:sz w:val="22"/>
                <w:szCs w:val="22"/>
              </w:rPr>
            </w:pPr>
            <w:r w:rsidRPr="00C11B0F">
              <w:rPr>
                <w:rFonts w:ascii="Arial" w:hAnsi="Arial" w:cs="Arial"/>
                <w:b/>
                <w:bCs/>
                <w:sz w:val="22"/>
                <w:szCs w:val="22"/>
              </w:rPr>
              <w:t>Governance &amp; Compliance</w:t>
            </w:r>
          </w:p>
          <w:p w14:paraId="46A11429" w14:textId="77777777" w:rsidR="00C11B0F" w:rsidRPr="00C11B0F" w:rsidRDefault="00C11B0F" w:rsidP="00EC6706">
            <w:pPr>
              <w:numPr>
                <w:ilvl w:val="0"/>
                <w:numId w:val="11"/>
              </w:numPr>
              <w:rPr>
                <w:rFonts w:ascii="Arial" w:hAnsi="Arial" w:cs="Arial"/>
                <w:sz w:val="22"/>
                <w:szCs w:val="22"/>
              </w:rPr>
            </w:pPr>
            <w:r w:rsidRPr="00C11B0F">
              <w:rPr>
                <w:rFonts w:ascii="Arial" w:hAnsi="Arial" w:cs="Arial"/>
                <w:sz w:val="22"/>
                <w:szCs w:val="22"/>
              </w:rPr>
              <w:t>Ensure compliance with relevant legislation and obtain dispensation where necessary.</w:t>
            </w:r>
          </w:p>
          <w:p w14:paraId="2C8F31E0" w14:textId="77777777" w:rsidR="00C11B0F" w:rsidRPr="00C11B0F" w:rsidRDefault="00C11B0F" w:rsidP="00EC6706">
            <w:pPr>
              <w:numPr>
                <w:ilvl w:val="0"/>
                <w:numId w:val="11"/>
              </w:numPr>
              <w:rPr>
                <w:rFonts w:ascii="Arial" w:hAnsi="Arial" w:cs="Arial"/>
                <w:sz w:val="22"/>
                <w:szCs w:val="22"/>
              </w:rPr>
            </w:pPr>
            <w:r w:rsidRPr="00C11B0F">
              <w:rPr>
                <w:rFonts w:ascii="Arial" w:hAnsi="Arial" w:cs="Arial"/>
                <w:sz w:val="22"/>
                <w:szCs w:val="22"/>
              </w:rPr>
              <w:t>Review lease agreements to ensure all service charge elements are captured.</w:t>
            </w:r>
          </w:p>
          <w:p w14:paraId="0C793512" w14:textId="77777777" w:rsidR="00C11B0F" w:rsidRPr="00C11B0F" w:rsidRDefault="00C11B0F" w:rsidP="00EC6706">
            <w:pPr>
              <w:numPr>
                <w:ilvl w:val="0"/>
                <w:numId w:val="11"/>
              </w:numPr>
              <w:rPr>
                <w:rFonts w:ascii="Arial" w:hAnsi="Arial" w:cs="Arial"/>
                <w:sz w:val="22"/>
                <w:szCs w:val="22"/>
              </w:rPr>
            </w:pPr>
            <w:r w:rsidRPr="00C11B0F">
              <w:rPr>
                <w:rFonts w:ascii="Arial" w:hAnsi="Arial" w:cs="Arial"/>
                <w:sz w:val="22"/>
                <w:szCs w:val="22"/>
              </w:rPr>
              <w:t>Identify non-collectable charges and prepare write-off documentation as required.</w:t>
            </w:r>
          </w:p>
          <w:p w14:paraId="20F5AD16" w14:textId="77777777" w:rsidR="00C11B0F" w:rsidRPr="00C11B0F" w:rsidRDefault="00C11B0F" w:rsidP="00EC6706">
            <w:pPr>
              <w:numPr>
                <w:ilvl w:val="0"/>
                <w:numId w:val="11"/>
              </w:numPr>
              <w:rPr>
                <w:rFonts w:ascii="Arial" w:hAnsi="Arial" w:cs="Arial"/>
                <w:sz w:val="22"/>
                <w:szCs w:val="22"/>
              </w:rPr>
            </w:pPr>
            <w:r w:rsidRPr="00C11B0F">
              <w:rPr>
                <w:rFonts w:ascii="Arial" w:hAnsi="Arial" w:cs="Arial"/>
                <w:sz w:val="22"/>
                <w:szCs w:val="22"/>
              </w:rPr>
              <w:t>Conduct Land Registry checks to confirm leaseholder ownership status.</w:t>
            </w:r>
          </w:p>
          <w:p w14:paraId="2423F15F" w14:textId="77777777" w:rsidR="00EC6706" w:rsidRDefault="00EC6706" w:rsidP="00EC6706">
            <w:pPr>
              <w:outlineLvl w:val="3"/>
              <w:rPr>
                <w:rFonts w:ascii="Arial" w:hAnsi="Arial" w:cs="Arial"/>
                <w:b/>
                <w:bCs/>
                <w:sz w:val="22"/>
                <w:szCs w:val="22"/>
              </w:rPr>
            </w:pPr>
          </w:p>
          <w:p w14:paraId="0BFDEBA7" w14:textId="7E5F2BE5" w:rsidR="00C11B0F" w:rsidRPr="00C11B0F" w:rsidRDefault="00C11B0F" w:rsidP="00EC6706">
            <w:pPr>
              <w:outlineLvl w:val="3"/>
              <w:rPr>
                <w:rFonts w:ascii="Arial" w:hAnsi="Arial" w:cs="Arial"/>
                <w:b/>
                <w:bCs/>
                <w:sz w:val="22"/>
                <w:szCs w:val="22"/>
              </w:rPr>
            </w:pPr>
            <w:r w:rsidRPr="00C11B0F">
              <w:rPr>
                <w:rFonts w:ascii="Arial" w:hAnsi="Arial" w:cs="Arial"/>
                <w:b/>
                <w:bCs/>
                <w:sz w:val="22"/>
                <w:szCs w:val="22"/>
              </w:rPr>
              <w:t>Engagement &amp; Representation</w:t>
            </w:r>
          </w:p>
          <w:p w14:paraId="27462429" w14:textId="77777777" w:rsidR="00C11B0F" w:rsidRPr="00C11B0F" w:rsidRDefault="00C11B0F" w:rsidP="00EC6706">
            <w:pPr>
              <w:numPr>
                <w:ilvl w:val="0"/>
                <w:numId w:val="12"/>
              </w:numPr>
              <w:rPr>
                <w:rFonts w:ascii="Arial" w:hAnsi="Arial" w:cs="Arial"/>
                <w:sz w:val="22"/>
                <w:szCs w:val="22"/>
              </w:rPr>
            </w:pPr>
            <w:r w:rsidRPr="00C11B0F">
              <w:rPr>
                <w:rFonts w:ascii="Arial" w:hAnsi="Arial" w:cs="Arial"/>
                <w:sz w:val="22"/>
                <w:szCs w:val="22"/>
              </w:rPr>
              <w:lastRenderedPageBreak/>
              <w:t>Arrange and attend leaseholder service charge meetings and community events.</w:t>
            </w:r>
          </w:p>
          <w:p w14:paraId="48E5FF1A" w14:textId="77777777" w:rsidR="00C11B0F" w:rsidRPr="00C11B0F" w:rsidRDefault="00C11B0F" w:rsidP="00EC6706">
            <w:pPr>
              <w:numPr>
                <w:ilvl w:val="0"/>
                <w:numId w:val="12"/>
              </w:numPr>
              <w:rPr>
                <w:rFonts w:ascii="Arial" w:hAnsi="Arial" w:cs="Arial"/>
                <w:sz w:val="22"/>
                <w:szCs w:val="22"/>
              </w:rPr>
            </w:pPr>
            <w:r w:rsidRPr="00C11B0F">
              <w:rPr>
                <w:rFonts w:ascii="Arial" w:hAnsi="Arial" w:cs="Arial"/>
                <w:sz w:val="22"/>
                <w:szCs w:val="22"/>
              </w:rPr>
              <w:t>Provide input to legal and tribunal cases as required.</w:t>
            </w:r>
          </w:p>
          <w:p w14:paraId="3A7869DA" w14:textId="77777777" w:rsidR="00C11B0F" w:rsidRPr="00C11B0F" w:rsidRDefault="00C11B0F" w:rsidP="00EC6706">
            <w:pPr>
              <w:numPr>
                <w:ilvl w:val="0"/>
                <w:numId w:val="12"/>
              </w:numPr>
              <w:rPr>
                <w:rFonts w:ascii="Arial" w:hAnsi="Arial" w:cs="Arial"/>
                <w:sz w:val="22"/>
                <w:szCs w:val="22"/>
              </w:rPr>
            </w:pPr>
            <w:r w:rsidRPr="00C11B0F">
              <w:rPr>
                <w:rFonts w:ascii="Arial" w:hAnsi="Arial" w:cs="Arial"/>
                <w:sz w:val="22"/>
                <w:szCs w:val="22"/>
              </w:rPr>
              <w:t>Represent the organization at First Tier Tribunals and in County Court when necessary.</w:t>
            </w:r>
          </w:p>
          <w:p w14:paraId="11A3D408" w14:textId="77777777" w:rsidR="00C11B0F" w:rsidRPr="00C11B0F" w:rsidRDefault="00C11B0F" w:rsidP="00EC6706">
            <w:pPr>
              <w:ind w:left="360"/>
              <w:jc w:val="both"/>
              <w:rPr>
                <w:rFonts w:ascii="Arial" w:hAnsi="Arial" w:cs="Arial"/>
                <w:sz w:val="22"/>
                <w:szCs w:val="22"/>
              </w:rPr>
            </w:pPr>
          </w:p>
          <w:p w14:paraId="3E5C6444" w14:textId="77777777" w:rsidR="008F1F91" w:rsidRPr="00C11B0F" w:rsidRDefault="008F1F91" w:rsidP="00EC6706">
            <w:pPr>
              <w:pStyle w:val="TableParagraph"/>
              <w:rPr>
                <w:b/>
              </w:rPr>
            </w:pPr>
            <w:r w:rsidRPr="00C11B0F">
              <w:rPr>
                <w:b/>
              </w:rPr>
              <w:t>Standard Responsibilities</w:t>
            </w:r>
          </w:p>
          <w:p w14:paraId="797F53AD" w14:textId="77777777" w:rsidR="008F1F91" w:rsidRPr="00C11B0F" w:rsidRDefault="008F1F91" w:rsidP="00EC6706">
            <w:pPr>
              <w:pStyle w:val="TableParagraph"/>
            </w:pPr>
            <w:r w:rsidRPr="00C11B0F">
              <w:t>Adopt and comply with SW9 CH values, policies and procedures, and regulatory frameworks including:</w:t>
            </w:r>
          </w:p>
          <w:p w14:paraId="24B9FEEC" w14:textId="77777777" w:rsidR="008F1F91" w:rsidRPr="00C11B0F" w:rsidRDefault="008F1F91" w:rsidP="00EC6706">
            <w:pPr>
              <w:pStyle w:val="TableParagraph"/>
            </w:pPr>
          </w:p>
          <w:p w14:paraId="0E756CF1" w14:textId="77777777" w:rsidR="008F1F91" w:rsidRPr="00C11B0F" w:rsidRDefault="008F1F91" w:rsidP="00EC6706">
            <w:pPr>
              <w:pStyle w:val="TableParagraph"/>
              <w:numPr>
                <w:ilvl w:val="0"/>
                <w:numId w:val="7"/>
              </w:numPr>
              <w:tabs>
                <w:tab w:val="left" w:pos="679"/>
                <w:tab w:val="left" w:pos="680"/>
              </w:tabs>
              <w:ind w:left="680" w:right="340"/>
            </w:pPr>
            <w:r w:rsidRPr="00C11B0F">
              <w:t>Code of Conduct</w:t>
            </w:r>
          </w:p>
          <w:p w14:paraId="49E11EC9" w14:textId="77777777" w:rsidR="008F1F91" w:rsidRPr="00C11B0F" w:rsidRDefault="008F1F91" w:rsidP="00EC6706">
            <w:pPr>
              <w:pStyle w:val="TableParagraph"/>
              <w:numPr>
                <w:ilvl w:val="0"/>
                <w:numId w:val="7"/>
              </w:numPr>
              <w:tabs>
                <w:tab w:val="left" w:pos="679"/>
                <w:tab w:val="left" w:pos="680"/>
              </w:tabs>
              <w:ind w:left="680" w:right="340"/>
            </w:pPr>
            <w:r w:rsidRPr="00C11B0F">
              <w:t>Health and Safety</w:t>
            </w:r>
          </w:p>
          <w:p w14:paraId="5C66D890" w14:textId="77777777" w:rsidR="008F1F91" w:rsidRPr="00C11B0F" w:rsidRDefault="008F1F91" w:rsidP="00EC6706">
            <w:pPr>
              <w:pStyle w:val="TableParagraph"/>
              <w:numPr>
                <w:ilvl w:val="0"/>
                <w:numId w:val="7"/>
              </w:numPr>
              <w:tabs>
                <w:tab w:val="left" w:pos="679"/>
                <w:tab w:val="left" w:pos="680"/>
              </w:tabs>
              <w:ind w:left="680" w:right="340"/>
            </w:pPr>
            <w:r w:rsidRPr="00C11B0F">
              <w:t>Data Protection, confidentiality, privacy and use of IT resources</w:t>
            </w:r>
          </w:p>
          <w:p w14:paraId="708EFA74" w14:textId="77777777" w:rsidR="008F1F91" w:rsidRPr="00C11B0F" w:rsidRDefault="008F1F91" w:rsidP="00EC6706">
            <w:pPr>
              <w:pStyle w:val="TableParagraph"/>
              <w:numPr>
                <w:ilvl w:val="0"/>
                <w:numId w:val="7"/>
              </w:numPr>
              <w:tabs>
                <w:tab w:val="left" w:pos="679"/>
                <w:tab w:val="left" w:pos="680"/>
              </w:tabs>
              <w:ind w:left="680" w:right="340"/>
            </w:pPr>
            <w:r w:rsidRPr="00C11B0F">
              <w:t>Regulatory standards and probity</w:t>
            </w:r>
          </w:p>
          <w:p w14:paraId="382B34CB" w14:textId="77777777" w:rsidR="008F1F91" w:rsidRPr="00C11B0F" w:rsidRDefault="008F1F91" w:rsidP="00EC6706">
            <w:pPr>
              <w:pStyle w:val="TableParagraph"/>
              <w:numPr>
                <w:ilvl w:val="0"/>
                <w:numId w:val="7"/>
              </w:numPr>
              <w:tabs>
                <w:tab w:val="left" w:pos="679"/>
                <w:tab w:val="left" w:pos="680"/>
              </w:tabs>
              <w:ind w:left="680" w:right="340"/>
            </w:pPr>
            <w:r w:rsidRPr="00C11B0F">
              <w:t>Risks and internal controls framework</w:t>
            </w:r>
          </w:p>
          <w:p w14:paraId="6C9524F0" w14:textId="77777777" w:rsidR="008F1F91" w:rsidRPr="00C11B0F" w:rsidRDefault="008F1F91" w:rsidP="00EC6706">
            <w:pPr>
              <w:pStyle w:val="TableParagraph"/>
              <w:numPr>
                <w:ilvl w:val="0"/>
                <w:numId w:val="7"/>
              </w:numPr>
              <w:tabs>
                <w:tab w:val="left" w:pos="679"/>
                <w:tab w:val="left" w:pos="680"/>
              </w:tabs>
              <w:ind w:left="680" w:right="340"/>
            </w:pPr>
            <w:r w:rsidRPr="00C11B0F">
              <w:t>Human Resources policies and procedures</w:t>
            </w:r>
          </w:p>
          <w:p w14:paraId="30B6F92F" w14:textId="77777777" w:rsidR="008F1F91" w:rsidRPr="00C11B0F" w:rsidRDefault="008F1F91" w:rsidP="00EC6706">
            <w:pPr>
              <w:pStyle w:val="TableParagraph"/>
              <w:numPr>
                <w:ilvl w:val="0"/>
                <w:numId w:val="7"/>
              </w:numPr>
              <w:tabs>
                <w:tab w:val="left" w:pos="679"/>
                <w:tab w:val="left" w:pos="680"/>
              </w:tabs>
              <w:ind w:left="680" w:right="340"/>
            </w:pPr>
            <w:r w:rsidRPr="00C11B0F">
              <w:t>Equality and diversity</w:t>
            </w:r>
          </w:p>
          <w:p w14:paraId="76824C6C" w14:textId="77777777" w:rsidR="00027BC5" w:rsidRPr="00C11B0F" w:rsidRDefault="00027BC5" w:rsidP="00EC6706">
            <w:pPr>
              <w:ind w:left="360"/>
              <w:jc w:val="both"/>
              <w:rPr>
                <w:rFonts w:ascii="Arial" w:hAnsi="Arial" w:cs="Arial"/>
                <w:sz w:val="22"/>
                <w:szCs w:val="22"/>
              </w:rPr>
            </w:pPr>
          </w:p>
        </w:tc>
      </w:tr>
      <w:bookmarkEnd w:id="0"/>
      <w:tr w:rsidR="00B426F0" w14:paraId="3F33287D" w14:textId="77777777" w:rsidTr="00B426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0" w:type="dxa"/>
            <w:gridSpan w:val="2"/>
            <w:tcBorders>
              <w:bottom w:val="single" w:sz="6" w:space="0" w:color="auto"/>
            </w:tcBorders>
            <w:shd w:val="clear" w:color="auto" w:fill="auto"/>
            <w:vAlign w:val="center"/>
          </w:tcPr>
          <w:p w14:paraId="3CA2736E" w14:textId="77777777" w:rsidR="00B426F0" w:rsidRPr="00B426F0" w:rsidRDefault="00B426F0" w:rsidP="00EC6706">
            <w:pPr>
              <w:pStyle w:val="Bullet-noindent"/>
              <w:numPr>
                <w:ilvl w:val="0"/>
                <w:numId w:val="0"/>
              </w:numPr>
              <w:spacing w:before="60" w:after="60"/>
              <w:rPr>
                <w:rFonts w:ascii="Arial" w:hAnsi="Arial"/>
                <w:b/>
                <w:sz w:val="22"/>
              </w:rPr>
            </w:pPr>
            <w:r w:rsidRPr="00B426F0">
              <w:rPr>
                <w:rFonts w:ascii="Arial" w:hAnsi="Arial" w:cs="Arial"/>
                <w:b/>
                <w:sz w:val="22"/>
                <w:szCs w:val="22"/>
              </w:rPr>
              <w:lastRenderedPageBreak/>
              <w:t xml:space="preserve">The post-holder may be required to undertake duties </w:t>
            </w:r>
            <w:r w:rsidR="00027BC5">
              <w:rPr>
                <w:rFonts w:ascii="Arial" w:hAnsi="Arial" w:cs="Arial"/>
                <w:b/>
                <w:sz w:val="22"/>
                <w:szCs w:val="22"/>
              </w:rPr>
              <w:t xml:space="preserve">of a similar nature and </w:t>
            </w:r>
            <w:r w:rsidRPr="00B426F0">
              <w:rPr>
                <w:rFonts w:ascii="Arial" w:hAnsi="Arial" w:cs="Arial"/>
                <w:b/>
                <w:sz w:val="22"/>
                <w:szCs w:val="22"/>
              </w:rPr>
              <w:t>at this level elsewhere within the service.</w:t>
            </w:r>
          </w:p>
        </w:tc>
      </w:tr>
      <w:tr w:rsidR="00634CF2" w14:paraId="621509C6" w14:textId="77777777" w:rsidTr="008B4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0" w:type="dxa"/>
            <w:gridSpan w:val="2"/>
            <w:tcBorders>
              <w:bottom w:val="single" w:sz="6" w:space="0" w:color="auto"/>
            </w:tcBorders>
            <w:shd w:val="clear" w:color="auto" w:fill="auto"/>
          </w:tcPr>
          <w:p w14:paraId="28A521F9" w14:textId="77777777" w:rsidR="00634CF2" w:rsidRDefault="00634CF2" w:rsidP="00634CF2">
            <w:pPr>
              <w:pStyle w:val="Bullet-noindent"/>
              <w:numPr>
                <w:ilvl w:val="0"/>
                <w:numId w:val="0"/>
              </w:numPr>
              <w:spacing w:before="60" w:after="60"/>
              <w:jc w:val="both"/>
              <w:rPr>
                <w:rFonts w:ascii="Arial" w:hAnsi="Arial"/>
                <w:b/>
                <w:sz w:val="22"/>
              </w:rPr>
            </w:pPr>
            <w:r>
              <w:rPr>
                <w:rFonts w:ascii="Arial" w:hAnsi="Arial"/>
                <w:b/>
                <w:sz w:val="22"/>
              </w:rPr>
              <w:t>Contacts - External/Internal</w:t>
            </w:r>
          </w:p>
        </w:tc>
      </w:tr>
      <w:tr w:rsidR="00634CF2" w14:paraId="54F2EF07" w14:textId="77777777" w:rsidTr="00B068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383"/>
        </w:trPr>
        <w:tc>
          <w:tcPr>
            <w:tcW w:w="9900" w:type="dxa"/>
            <w:gridSpan w:val="2"/>
          </w:tcPr>
          <w:p w14:paraId="5C24D33C" w14:textId="20C2872E" w:rsidR="008F1F91" w:rsidRPr="00C16E76" w:rsidRDefault="008F1F91" w:rsidP="00250273">
            <w:pPr>
              <w:pStyle w:val="Bullet-noindent"/>
              <w:numPr>
                <w:ilvl w:val="0"/>
                <w:numId w:val="2"/>
              </w:numPr>
              <w:jc w:val="both"/>
              <w:rPr>
                <w:rFonts w:ascii="Arial" w:hAnsi="Arial"/>
                <w:sz w:val="22"/>
              </w:rPr>
            </w:pPr>
            <w:r w:rsidRPr="00C16E76">
              <w:rPr>
                <w:rFonts w:ascii="Arial" w:hAnsi="Arial"/>
                <w:sz w:val="22"/>
              </w:rPr>
              <w:t xml:space="preserve">Managers and staff within SW9 </w:t>
            </w:r>
            <w:r w:rsidR="00F25FBA">
              <w:rPr>
                <w:rFonts w:ascii="Arial" w:hAnsi="Arial"/>
                <w:sz w:val="22"/>
              </w:rPr>
              <w:t xml:space="preserve">CH </w:t>
            </w:r>
            <w:r w:rsidRPr="00C16E76">
              <w:rPr>
                <w:rFonts w:ascii="Arial" w:hAnsi="Arial"/>
                <w:sz w:val="22"/>
              </w:rPr>
              <w:t xml:space="preserve">and </w:t>
            </w:r>
            <w:r w:rsidR="00F66747">
              <w:rPr>
                <w:rFonts w:ascii="Arial" w:hAnsi="Arial"/>
                <w:sz w:val="22"/>
              </w:rPr>
              <w:t>SNG</w:t>
            </w:r>
          </w:p>
          <w:p w14:paraId="0BC88AA1" w14:textId="77777777" w:rsidR="00214FAC" w:rsidRPr="00214FAC" w:rsidRDefault="00214FAC" w:rsidP="00250273">
            <w:pPr>
              <w:pStyle w:val="Bullet-noindent"/>
              <w:numPr>
                <w:ilvl w:val="0"/>
                <w:numId w:val="2"/>
              </w:numPr>
              <w:jc w:val="both"/>
              <w:rPr>
                <w:rFonts w:ascii="Arial" w:hAnsi="Arial"/>
                <w:sz w:val="22"/>
              </w:rPr>
            </w:pPr>
            <w:r w:rsidRPr="00214FAC">
              <w:rPr>
                <w:rFonts w:ascii="Arial" w:hAnsi="Arial"/>
                <w:sz w:val="22"/>
              </w:rPr>
              <w:t>Residents and resident representatives</w:t>
            </w:r>
          </w:p>
          <w:p w14:paraId="277AF032" w14:textId="77777777" w:rsidR="00214FAC" w:rsidRPr="00214FAC" w:rsidRDefault="00214FAC" w:rsidP="00250273">
            <w:pPr>
              <w:pStyle w:val="Bullet-noindent"/>
              <w:numPr>
                <w:ilvl w:val="0"/>
                <w:numId w:val="2"/>
              </w:numPr>
              <w:jc w:val="both"/>
              <w:rPr>
                <w:rFonts w:ascii="Arial" w:hAnsi="Arial"/>
                <w:sz w:val="22"/>
              </w:rPr>
            </w:pPr>
            <w:r w:rsidRPr="00214FAC">
              <w:rPr>
                <w:rFonts w:ascii="Arial" w:hAnsi="Arial"/>
                <w:sz w:val="22"/>
              </w:rPr>
              <w:t>Legal Counsel</w:t>
            </w:r>
          </w:p>
          <w:p w14:paraId="325D805D" w14:textId="77777777" w:rsidR="00214FAC" w:rsidRPr="00214FAC" w:rsidRDefault="00214FAC" w:rsidP="00250273">
            <w:pPr>
              <w:pStyle w:val="Bullet-noindent"/>
              <w:numPr>
                <w:ilvl w:val="0"/>
                <w:numId w:val="2"/>
              </w:numPr>
              <w:jc w:val="both"/>
              <w:rPr>
                <w:rFonts w:ascii="Arial" w:hAnsi="Arial"/>
                <w:sz w:val="22"/>
              </w:rPr>
            </w:pPr>
            <w:r w:rsidRPr="00214FAC">
              <w:rPr>
                <w:rFonts w:ascii="Arial" w:hAnsi="Arial"/>
                <w:sz w:val="22"/>
              </w:rPr>
              <w:t xml:space="preserve">Courts and Tribunals </w:t>
            </w:r>
          </w:p>
          <w:p w14:paraId="48122D3A" w14:textId="77777777" w:rsidR="00214FAC" w:rsidRPr="00214FAC" w:rsidRDefault="00214FAC" w:rsidP="00250273">
            <w:pPr>
              <w:pStyle w:val="Bullet-noindent"/>
              <w:numPr>
                <w:ilvl w:val="0"/>
                <w:numId w:val="2"/>
              </w:numPr>
              <w:jc w:val="both"/>
              <w:rPr>
                <w:rFonts w:ascii="Arial" w:hAnsi="Arial"/>
                <w:sz w:val="22"/>
              </w:rPr>
            </w:pPr>
            <w:r w:rsidRPr="00214FAC">
              <w:rPr>
                <w:rFonts w:ascii="Arial" w:hAnsi="Arial"/>
                <w:sz w:val="22"/>
              </w:rPr>
              <w:t>Contractors and Service Providers</w:t>
            </w:r>
          </w:p>
          <w:p w14:paraId="7C5DE1CF" w14:textId="77777777" w:rsidR="00634CF2" w:rsidRDefault="00214FAC" w:rsidP="00250273">
            <w:pPr>
              <w:pStyle w:val="Bullet-noindent"/>
              <w:numPr>
                <w:ilvl w:val="0"/>
                <w:numId w:val="2"/>
              </w:numPr>
              <w:jc w:val="both"/>
              <w:rPr>
                <w:rFonts w:ascii="Arial" w:hAnsi="Arial"/>
                <w:sz w:val="22"/>
              </w:rPr>
            </w:pPr>
            <w:r w:rsidRPr="00214FAC">
              <w:rPr>
                <w:rFonts w:ascii="Arial" w:hAnsi="Arial"/>
                <w:sz w:val="22"/>
              </w:rPr>
              <w:t>Other external agencies</w:t>
            </w:r>
            <w:r>
              <w:rPr>
                <w:rFonts w:ascii="Arial" w:hAnsi="Arial"/>
                <w:sz w:val="22"/>
              </w:rPr>
              <w:t xml:space="preserve"> relevant to role</w:t>
            </w:r>
          </w:p>
          <w:p w14:paraId="38ACB6F0" w14:textId="77777777" w:rsidR="00214FAC" w:rsidRPr="008B480C" w:rsidRDefault="00214FAC" w:rsidP="00B426F0">
            <w:pPr>
              <w:pStyle w:val="Bullet-noindent"/>
              <w:numPr>
                <w:ilvl w:val="0"/>
                <w:numId w:val="0"/>
              </w:numPr>
              <w:jc w:val="both"/>
              <w:rPr>
                <w:rFonts w:ascii="Arial" w:hAnsi="Arial"/>
                <w:sz w:val="22"/>
              </w:rPr>
            </w:pPr>
          </w:p>
        </w:tc>
      </w:tr>
    </w:tbl>
    <w:p w14:paraId="06C8B138" w14:textId="77777777" w:rsidR="00027BC5" w:rsidRDefault="00027BC5" w:rsidP="00634CF2">
      <w:pPr>
        <w:pStyle w:val="Bullet-noindent"/>
        <w:numPr>
          <w:ilvl w:val="0"/>
          <w:numId w:val="0"/>
        </w:numPr>
        <w:spacing w:before="60" w:after="60"/>
        <w:jc w:val="both"/>
        <w:rPr>
          <w:rFonts w:ascii="Arial" w:hAnsi="Arial"/>
          <w:b/>
          <w:sz w:val="22"/>
        </w:rPr>
        <w:sectPr w:rsidR="00027BC5" w:rsidSect="000033FB">
          <w:pgSz w:w="11906" w:h="16838"/>
          <w:pgMar w:top="567" w:right="1800" w:bottom="426" w:left="1800" w:header="708" w:footer="708" w:gutter="0"/>
          <w:cols w:space="708"/>
          <w:docGrid w:linePitch="360"/>
        </w:sectPr>
      </w:pPr>
    </w:p>
    <w:tbl>
      <w:tblPr>
        <w:tblW w:w="99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634CF2" w14:paraId="206E5EBD" w14:textId="77777777" w:rsidTr="000B722B">
        <w:trPr>
          <w:trHeight w:val="428"/>
        </w:trPr>
        <w:tc>
          <w:tcPr>
            <w:tcW w:w="9900" w:type="dxa"/>
            <w:shd w:val="clear" w:color="auto" w:fill="auto"/>
          </w:tcPr>
          <w:p w14:paraId="5C43645E" w14:textId="77777777" w:rsidR="00634CF2" w:rsidRDefault="00634CF2" w:rsidP="00634CF2">
            <w:pPr>
              <w:pStyle w:val="Bullet-noindent"/>
              <w:numPr>
                <w:ilvl w:val="0"/>
                <w:numId w:val="0"/>
              </w:numPr>
              <w:spacing w:before="60" w:after="60"/>
              <w:jc w:val="both"/>
              <w:rPr>
                <w:rFonts w:ascii="Arial" w:hAnsi="Arial"/>
                <w:b/>
                <w:sz w:val="22"/>
              </w:rPr>
            </w:pPr>
            <w:r>
              <w:rPr>
                <w:rFonts w:ascii="Arial" w:hAnsi="Arial"/>
                <w:b/>
                <w:sz w:val="22"/>
              </w:rPr>
              <w:lastRenderedPageBreak/>
              <w:t xml:space="preserve">Person Specification </w:t>
            </w:r>
          </w:p>
        </w:tc>
      </w:tr>
      <w:tr w:rsidR="00634CF2" w14:paraId="552E0BD0" w14:textId="77777777" w:rsidTr="000B722B">
        <w:trPr>
          <w:trHeight w:val="428"/>
        </w:trPr>
        <w:tc>
          <w:tcPr>
            <w:tcW w:w="9900" w:type="dxa"/>
            <w:shd w:val="clear" w:color="auto" w:fill="auto"/>
          </w:tcPr>
          <w:p w14:paraId="4535446A" w14:textId="77777777" w:rsidR="00634CF2" w:rsidRPr="00767E89" w:rsidRDefault="00634CF2" w:rsidP="00027BC5">
            <w:pPr>
              <w:pStyle w:val="Bullet-noindent"/>
              <w:numPr>
                <w:ilvl w:val="0"/>
                <w:numId w:val="0"/>
              </w:numPr>
              <w:spacing w:beforeLines="60" w:before="144" w:after="60"/>
              <w:jc w:val="both"/>
              <w:rPr>
                <w:rFonts w:ascii="Arial" w:hAnsi="Arial"/>
                <w:b/>
                <w:sz w:val="22"/>
              </w:rPr>
            </w:pPr>
            <w:r w:rsidRPr="00767E89">
              <w:rPr>
                <w:rFonts w:ascii="Arial" w:hAnsi="Arial"/>
                <w:b/>
                <w:sz w:val="22"/>
              </w:rPr>
              <w:t>Education</w:t>
            </w:r>
          </w:p>
          <w:p w14:paraId="3CC87602" w14:textId="1558B161" w:rsidR="00C318E0" w:rsidRPr="00C318E0" w:rsidRDefault="00C318E0" w:rsidP="00C318E0">
            <w:pPr>
              <w:pStyle w:val="ListParagraph"/>
              <w:numPr>
                <w:ilvl w:val="0"/>
                <w:numId w:val="2"/>
              </w:numPr>
              <w:rPr>
                <w:rFonts w:ascii="Arial" w:hAnsi="Arial" w:cs="Arial"/>
              </w:rPr>
            </w:pPr>
            <w:r w:rsidRPr="00C318E0">
              <w:rPr>
                <w:rFonts w:ascii="Arial" w:hAnsi="Arial" w:cs="Arial"/>
              </w:rPr>
              <w:t>Part-qualified or qualified (ACCA, CIMA, AAT) or equivalent relevant experience.</w:t>
            </w:r>
          </w:p>
          <w:p w14:paraId="1C650FEF" w14:textId="2D35DD79" w:rsidR="004D0F31" w:rsidRPr="00C318E0" w:rsidRDefault="009423D2" w:rsidP="00C318E0">
            <w:pPr>
              <w:pStyle w:val="ListParagraph"/>
              <w:numPr>
                <w:ilvl w:val="0"/>
                <w:numId w:val="2"/>
              </w:numPr>
              <w:rPr>
                <w:rFonts w:ascii="Arial" w:hAnsi="Arial" w:cs="Arial"/>
              </w:rPr>
            </w:pPr>
            <w:r w:rsidRPr="00C318E0">
              <w:rPr>
                <w:rFonts w:ascii="Arial" w:hAnsi="Arial" w:cs="Arial"/>
              </w:rPr>
              <w:t>Possession of or working towards a</w:t>
            </w:r>
            <w:r w:rsidR="00D51A4B" w:rsidRPr="00C318E0">
              <w:rPr>
                <w:rFonts w:ascii="Arial" w:hAnsi="Arial" w:cs="Arial"/>
              </w:rPr>
              <w:t xml:space="preserve"> re</w:t>
            </w:r>
            <w:r w:rsidR="002D6F1D" w:rsidRPr="00C318E0">
              <w:rPr>
                <w:rFonts w:ascii="Arial" w:hAnsi="Arial" w:cs="Arial"/>
              </w:rPr>
              <w:t xml:space="preserve">cognised </w:t>
            </w:r>
            <w:r w:rsidR="00D51A4B" w:rsidRPr="00C318E0">
              <w:rPr>
                <w:rFonts w:ascii="Arial" w:hAnsi="Arial" w:cs="Arial"/>
              </w:rPr>
              <w:t>accounting qualification</w:t>
            </w:r>
            <w:r w:rsidRPr="00C318E0">
              <w:rPr>
                <w:rFonts w:ascii="Arial" w:hAnsi="Arial" w:cs="Arial"/>
              </w:rPr>
              <w:t xml:space="preserve"> is desirable. </w:t>
            </w:r>
          </w:p>
          <w:p w14:paraId="6C20F1FA" w14:textId="77777777" w:rsidR="00634CF2" w:rsidRDefault="00634CF2" w:rsidP="00027BC5">
            <w:pPr>
              <w:pStyle w:val="Bullet-noindent"/>
              <w:numPr>
                <w:ilvl w:val="0"/>
                <w:numId w:val="0"/>
              </w:numPr>
              <w:spacing w:beforeLines="60" w:before="144" w:after="60"/>
              <w:jc w:val="both"/>
              <w:rPr>
                <w:rFonts w:ascii="Arial" w:hAnsi="Arial"/>
                <w:b/>
                <w:sz w:val="22"/>
              </w:rPr>
            </w:pPr>
            <w:r w:rsidRPr="00767E89">
              <w:rPr>
                <w:rFonts w:ascii="Arial" w:hAnsi="Arial"/>
                <w:b/>
                <w:sz w:val="22"/>
              </w:rPr>
              <w:t>Knowledge and skills</w:t>
            </w:r>
          </w:p>
          <w:p w14:paraId="46EFFFD4" w14:textId="77777777" w:rsidR="00027BC5"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 xml:space="preserve">Knowledge of leases and understanding of the </w:t>
            </w:r>
            <w:r w:rsidR="00027BC5" w:rsidRPr="008F1F91">
              <w:t>issues of leasehold management</w:t>
            </w:r>
            <w:r w:rsidR="00C5386D">
              <w:t>.</w:t>
            </w:r>
          </w:p>
          <w:p w14:paraId="0C6D71EA" w14:textId="77777777" w:rsidR="004E32A0" w:rsidRPr="008F1F91" w:rsidRDefault="004E32A0" w:rsidP="00250273">
            <w:pPr>
              <w:pStyle w:val="TableParagraph"/>
              <w:numPr>
                <w:ilvl w:val="0"/>
                <w:numId w:val="2"/>
              </w:numPr>
              <w:tabs>
                <w:tab w:val="clear" w:pos="720"/>
                <w:tab w:val="left" w:pos="679"/>
                <w:tab w:val="left" w:pos="680"/>
              </w:tabs>
              <w:spacing w:before="60"/>
              <w:ind w:left="680" w:right="340" w:hanging="425"/>
            </w:pPr>
            <w:r w:rsidRPr="008F1F91">
              <w:t>Good knowledge of IT and Housing systems including Word, advanced Excel and Outlook.</w:t>
            </w:r>
          </w:p>
          <w:p w14:paraId="0036332C" w14:textId="514FEFC3" w:rsidR="00660B18" w:rsidRDefault="00660B18" w:rsidP="00250273">
            <w:pPr>
              <w:pStyle w:val="TableParagraph"/>
              <w:numPr>
                <w:ilvl w:val="0"/>
                <w:numId w:val="2"/>
              </w:numPr>
              <w:tabs>
                <w:tab w:val="clear" w:pos="720"/>
                <w:tab w:val="left" w:pos="679"/>
                <w:tab w:val="left" w:pos="680"/>
              </w:tabs>
              <w:spacing w:before="60"/>
              <w:ind w:left="680" w:right="340" w:hanging="425"/>
            </w:pPr>
            <w:r w:rsidRPr="008F1F91">
              <w:t>Excellent numerical skills to calculate estimated and actual service charges</w:t>
            </w:r>
            <w:r w:rsidR="00C5386D">
              <w:t>.</w:t>
            </w:r>
          </w:p>
          <w:p w14:paraId="3A55D994"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Demonstrable knowledge of Section 20 and other leasehold legislation</w:t>
            </w:r>
            <w:r w:rsidR="00C5386D">
              <w:t>.</w:t>
            </w:r>
          </w:p>
          <w:p w14:paraId="0A88DE42"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Ability to meet deadlines and plan and deliver a range of different activities</w:t>
            </w:r>
            <w:r w:rsidR="00C5386D">
              <w:t>.</w:t>
            </w:r>
          </w:p>
          <w:p w14:paraId="3FC34386"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Ability to validate information and show attention to detail</w:t>
            </w:r>
            <w:r w:rsidR="00C5386D">
              <w:t>.</w:t>
            </w:r>
          </w:p>
          <w:p w14:paraId="41023256"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Ability to achieve results against departmental Key Performance Indicators.</w:t>
            </w:r>
          </w:p>
          <w:p w14:paraId="0C51F219"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Excellent interpersonal skills to support work with customers across a range of circumstances</w:t>
            </w:r>
            <w:r w:rsidR="00C5386D">
              <w:t>.</w:t>
            </w:r>
          </w:p>
          <w:p w14:paraId="3EC16F4A"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Strong verbal communication skills and the ability to adapt this approach for different audiences</w:t>
            </w:r>
            <w:r w:rsidR="00C5386D">
              <w:t>.</w:t>
            </w:r>
          </w:p>
          <w:p w14:paraId="677034D1"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Excellent analytical skills to identify a range of issues from information gathered</w:t>
            </w:r>
            <w:r w:rsidR="00C5386D">
              <w:t>.</w:t>
            </w:r>
          </w:p>
          <w:p w14:paraId="56A71515" w14:textId="77777777" w:rsidR="00660B18" w:rsidRPr="008F1F91" w:rsidRDefault="00660B18" w:rsidP="00250273">
            <w:pPr>
              <w:pStyle w:val="TableParagraph"/>
              <w:numPr>
                <w:ilvl w:val="0"/>
                <w:numId w:val="2"/>
              </w:numPr>
              <w:tabs>
                <w:tab w:val="clear" w:pos="720"/>
                <w:tab w:val="left" w:pos="679"/>
                <w:tab w:val="left" w:pos="680"/>
              </w:tabs>
              <w:spacing w:before="60"/>
              <w:ind w:left="680" w:right="340" w:hanging="425"/>
            </w:pPr>
            <w:r w:rsidRPr="008F1F91">
              <w:t>Excellent customer focus and a genuine desire to achieve excellence in all areas of responsibility</w:t>
            </w:r>
            <w:r w:rsidR="00C5386D">
              <w:t>.</w:t>
            </w:r>
          </w:p>
          <w:p w14:paraId="62E0BAB1" w14:textId="77777777" w:rsidR="00634CF2" w:rsidRPr="00767E89" w:rsidRDefault="00634CF2" w:rsidP="00027BC5">
            <w:pPr>
              <w:pStyle w:val="Bullet-noindent"/>
              <w:numPr>
                <w:ilvl w:val="0"/>
                <w:numId w:val="0"/>
              </w:numPr>
              <w:spacing w:beforeLines="60" w:before="144" w:after="60"/>
              <w:jc w:val="both"/>
              <w:rPr>
                <w:rFonts w:ascii="Arial" w:hAnsi="Arial"/>
                <w:b/>
                <w:sz w:val="22"/>
              </w:rPr>
            </w:pPr>
            <w:r w:rsidRPr="00767E89">
              <w:rPr>
                <w:rFonts w:ascii="Arial" w:hAnsi="Arial"/>
                <w:b/>
                <w:sz w:val="22"/>
              </w:rPr>
              <w:t>Experience</w:t>
            </w:r>
          </w:p>
          <w:p w14:paraId="62670000" w14:textId="6911CC29" w:rsidR="00BA1635" w:rsidRPr="00BA1635" w:rsidRDefault="00BA1635" w:rsidP="00250273">
            <w:pPr>
              <w:pStyle w:val="TableParagraph"/>
              <w:numPr>
                <w:ilvl w:val="0"/>
                <w:numId w:val="2"/>
              </w:numPr>
              <w:tabs>
                <w:tab w:val="clear" w:pos="720"/>
                <w:tab w:val="left" w:pos="679"/>
                <w:tab w:val="left" w:pos="680"/>
              </w:tabs>
              <w:spacing w:before="60"/>
              <w:ind w:left="680" w:right="340" w:hanging="425"/>
            </w:pPr>
            <w:r>
              <w:t>E</w:t>
            </w:r>
            <w:r w:rsidRPr="00BA1635">
              <w:t xml:space="preserve">xperience in Service Charge </w:t>
            </w:r>
            <w:r w:rsidR="00660B18">
              <w:t>accountin</w:t>
            </w:r>
            <w:r w:rsidR="00027BC5">
              <w:t>g</w:t>
            </w:r>
            <w:r>
              <w:t xml:space="preserve"> and general </w:t>
            </w:r>
            <w:r w:rsidRPr="00BA1635">
              <w:t>leasehold manag</w:t>
            </w:r>
            <w:r>
              <w:t>ement</w:t>
            </w:r>
            <w:r w:rsidR="0050604B">
              <w:t xml:space="preserve"> </w:t>
            </w:r>
            <w:r w:rsidR="00D352D4">
              <w:t>preferable within housing or property sector.</w:t>
            </w:r>
          </w:p>
          <w:p w14:paraId="2477E8D4" w14:textId="77777777" w:rsidR="00634CF2" w:rsidRDefault="00A64575" w:rsidP="00250273">
            <w:pPr>
              <w:pStyle w:val="TableParagraph"/>
              <w:numPr>
                <w:ilvl w:val="0"/>
                <w:numId w:val="2"/>
              </w:numPr>
              <w:tabs>
                <w:tab w:val="clear" w:pos="720"/>
                <w:tab w:val="left" w:pos="679"/>
                <w:tab w:val="left" w:pos="680"/>
              </w:tabs>
              <w:spacing w:before="60"/>
              <w:ind w:left="680" w:right="340" w:hanging="425"/>
            </w:pPr>
            <w:r w:rsidRPr="009D1B77">
              <w:t xml:space="preserve">Experience of </w:t>
            </w:r>
            <w:r>
              <w:t>creating performance reports and implementing service improvements is desirable.</w:t>
            </w:r>
          </w:p>
          <w:p w14:paraId="272BC4EA" w14:textId="77777777" w:rsidR="00BA1635" w:rsidRPr="00A64575" w:rsidRDefault="00BA1635" w:rsidP="00250273">
            <w:pPr>
              <w:pStyle w:val="TableParagraph"/>
              <w:numPr>
                <w:ilvl w:val="0"/>
                <w:numId w:val="2"/>
              </w:numPr>
              <w:tabs>
                <w:tab w:val="clear" w:pos="720"/>
                <w:tab w:val="left" w:pos="679"/>
                <w:tab w:val="left" w:pos="680"/>
              </w:tabs>
              <w:spacing w:before="60"/>
              <w:ind w:left="680" w:right="340" w:hanging="425"/>
            </w:pPr>
            <w:r>
              <w:t>Experience of working in social housing or local authority is desirable.</w:t>
            </w:r>
          </w:p>
        </w:tc>
      </w:tr>
      <w:tr w:rsidR="00634CF2" w14:paraId="1ADAEA07" w14:textId="77777777" w:rsidTr="00027BC5">
        <w:tc>
          <w:tcPr>
            <w:tcW w:w="9900" w:type="dxa"/>
            <w:shd w:val="clear" w:color="auto" w:fill="auto"/>
          </w:tcPr>
          <w:p w14:paraId="62881D5A" w14:textId="77777777" w:rsidR="00634CF2" w:rsidRDefault="00634CF2" w:rsidP="00634CF2">
            <w:pPr>
              <w:pStyle w:val="Bullet-noindent"/>
              <w:numPr>
                <w:ilvl w:val="0"/>
                <w:numId w:val="0"/>
              </w:numPr>
              <w:spacing w:before="60" w:after="60"/>
              <w:jc w:val="both"/>
              <w:rPr>
                <w:rFonts w:ascii="Arial" w:hAnsi="Arial"/>
                <w:b/>
                <w:sz w:val="22"/>
              </w:rPr>
            </w:pPr>
            <w:r>
              <w:rPr>
                <w:rFonts w:ascii="Arial" w:hAnsi="Arial"/>
                <w:b/>
                <w:sz w:val="22"/>
              </w:rPr>
              <w:t xml:space="preserve">Competencies </w:t>
            </w:r>
          </w:p>
        </w:tc>
      </w:tr>
      <w:tr w:rsidR="00634CF2" w14:paraId="54535D97" w14:textId="77777777">
        <w:tc>
          <w:tcPr>
            <w:tcW w:w="9900" w:type="dxa"/>
            <w:tcBorders>
              <w:top w:val="single" w:sz="6" w:space="0" w:color="auto"/>
            </w:tcBorders>
          </w:tcPr>
          <w:p w14:paraId="5B50CA56" w14:textId="77777777" w:rsidR="00A543FD" w:rsidRPr="008341FE" w:rsidRDefault="00A543FD" w:rsidP="00A543FD">
            <w:pPr>
              <w:jc w:val="both"/>
              <w:rPr>
                <w:rFonts w:ascii="Arial" w:hAnsi="Arial" w:cs="Arial"/>
                <w:sz w:val="22"/>
                <w:szCs w:val="22"/>
              </w:rPr>
            </w:pPr>
            <w:r w:rsidRPr="008341FE">
              <w:rPr>
                <w:rFonts w:ascii="Arial" w:hAnsi="Arial" w:cs="Arial"/>
                <w:b/>
                <w:bCs/>
                <w:sz w:val="22"/>
                <w:szCs w:val="22"/>
              </w:rPr>
              <w:t xml:space="preserve">We want to make </w:t>
            </w:r>
            <w:r>
              <w:rPr>
                <w:rFonts w:ascii="Arial" w:hAnsi="Arial" w:cs="Arial"/>
                <w:b/>
                <w:bCs/>
                <w:sz w:val="22"/>
                <w:szCs w:val="22"/>
              </w:rPr>
              <w:t>SW9 CH</w:t>
            </w:r>
            <w:r w:rsidRPr="008341FE">
              <w:rPr>
                <w:rFonts w:ascii="Arial" w:hAnsi="Arial" w:cs="Arial"/>
                <w:b/>
                <w:bCs/>
                <w:sz w:val="22"/>
                <w:szCs w:val="22"/>
              </w:rPr>
              <w:t xml:space="preserve"> a great place to work and a great organisation that really delivers for its customers. Our HART behaviours are designed to guide how we work, every day. Everyone within the organisation is expected to demonstrate</w:t>
            </w:r>
            <w:r w:rsidRPr="008341FE">
              <w:rPr>
                <w:rFonts w:ascii="Arial" w:hAnsi="Arial" w:cs="Arial"/>
                <w:sz w:val="22"/>
                <w:szCs w:val="22"/>
              </w:rPr>
              <w:t xml:space="preserve"> </w:t>
            </w:r>
            <w:r w:rsidRPr="008341FE">
              <w:rPr>
                <w:rFonts w:ascii="Arial" w:hAnsi="Arial" w:cs="Arial"/>
                <w:b/>
                <w:sz w:val="22"/>
                <w:szCs w:val="22"/>
              </w:rPr>
              <w:t>the four HART behaviours:</w:t>
            </w:r>
            <w:r w:rsidR="00B147BB">
              <w:rPr>
                <w:rFonts w:ascii="Arial" w:hAnsi="Arial" w:cs="Arial"/>
                <w:b/>
                <w:sz w:val="22"/>
                <w:szCs w:val="22"/>
              </w:rPr>
              <w:t xml:space="preserve"> </w:t>
            </w:r>
            <w:r w:rsidRPr="008341FE">
              <w:rPr>
                <w:rFonts w:ascii="Arial" w:hAnsi="Arial" w:cs="Arial"/>
                <w:b/>
                <w:sz w:val="22"/>
                <w:szCs w:val="22"/>
              </w:rPr>
              <w:t>-</w:t>
            </w:r>
          </w:p>
          <w:p w14:paraId="456F1D22" w14:textId="77777777" w:rsidR="00A543FD" w:rsidRPr="008341FE" w:rsidRDefault="00A543FD" w:rsidP="00A543FD">
            <w:pPr>
              <w:ind w:firstLine="284"/>
              <w:rPr>
                <w:rFonts w:ascii="Arial" w:hAnsi="Arial" w:cs="Arial"/>
                <w:b/>
                <w:bCs/>
                <w:sz w:val="22"/>
                <w:szCs w:val="22"/>
              </w:rPr>
            </w:pPr>
          </w:p>
          <w:p w14:paraId="52BD7DAA" w14:textId="77777777" w:rsidR="00A543FD" w:rsidRPr="008341FE" w:rsidRDefault="00A543FD" w:rsidP="00A543FD">
            <w:pPr>
              <w:rPr>
                <w:rFonts w:ascii="Arial" w:hAnsi="Arial" w:cs="Arial"/>
                <w:sz w:val="22"/>
                <w:szCs w:val="22"/>
              </w:rPr>
            </w:pPr>
            <w:r w:rsidRPr="008341FE">
              <w:rPr>
                <w:rFonts w:ascii="Arial" w:hAnsi="Arial" w:cs="Arial"/>
                <w:b/>
                <w:sz w:val="22"/>
                <w:szCs w:val="22"/>
              </w:rPr>
              <w:t>Hungry</w:t>
            </w:r>
            <w:r w:rsidRPr="008341FE">
              <w:rPr>
                <w:rFonts w:ascii="Arial" w:hAnsi="Arial" w:cs="Arial"/>
                <w:sz w:val="22"/>
                <w:szCs w:val="22"/>
              </w:rPr>
              <w:t xml:space="preserve"> – I am ambitious to succeed</w:t>
            </w:r>
          </w:p>
          <w:p w14:paraId="4A8AB434" w14:textId="77777777" w:rsidR="00A543FD" w:rsidRPr="008341FE" w:rsidRDefault="00A543FD" w:rsidP="00250273">
            <w:pPr>
              <w:pStyle w:val="ListParagraph"/>
              <w:numPr>
                <w:ilvl w:val="0"/>
                <w:numId w:val="4"/>
              </w:numPr>
              <w:contextualSpacing/>
              <w:rPr>
                <w:rFonts w:ascii="Arial" w:hAnsi="Arial" w:cs="Arial"/>
                <w:sz w:val="22"/>
                <w:szCs w:val="22"/>
              </w:rPr>
            </w:pPr>
            <w:r w:rsidRPr="008341FE">
              <w:rPr>
                <w:rFonts w:ascii="Arial" w:hAnsi="Arial" w:cs="Arial"/>
                <w:sz w:val="22"/>
                <w:szCs w:val="22"/>
              </w:rPr>
              <w:t xml:space="preserve">Optimistic: I am can-do and focussed on what can be done </w:t>
            </w:r>
          </w:p>
          <w:p w14:paraId="463019BD" w14:textId="77777777" w:rsidR="00A543FD" w:rsidRPr="008341FE" w:rsidRDefault="00A543FD" w:rsidP="00250273">
            <w:pPr>
              <w:pStyle w:val="ListParagraph"/>
              <w:numPr>
                <w:ilvl w:val="0"/>
                <w:numId w:val="4"/>
              </w:numPr>
              <w:contextualSpacing/>
              <w:rPr>
                <w:rFonts w:ascii="Arial" w:hAnsi="Arial" w:cs="Arial"/>
                <w:sz w:val="22"/>
                <w:szCs w:val="22"/>
              </w:rPr>
            </w:pPr>
            <w:r w:rsidRPr="008341FE">
              <w:rPr>
                <w:rFonts w:ascii="Arial" w:hAnsi="Arial" w:cs="Arial"/>
                <w:sz w:val="22"/>
                <w:szCs w:val="22"/>
              </w:rPr>
              <w:t>Creative: I find new ideas and solutions to challenges</w:t>
            </w:r>
          </w:p>
          <w:p w14:paraId="3E584240" w14:textId="77777777" w:rsidR="00A543FD" w:rsidRPr="008341FE" w:rsidRDefault="00A543FD" w:rsidP="00250273">
            <w:pPr>
              <w:pStyle w:val="ListParagraph"/>
              <w:numPr>
                <w:ilvl w:val="0"/>
                <w:numId w:val="4"/>
              </w:numPr>
              <w:contextualSpacing/>
              <w:rPr>
                <w:rFonts w:ascii="Arial" w:hAnsi="Arial" w:cs="Arial"/>
                <w:sz w:val="22"/>
                <w:szCs w:val="22"/>
              </w:rPr>
            </w:pPr>
            <w:r w:rsidRPr="008341FE">
              <w:rPr>
                <w:rFonts w:ascii="Arial" w:hAnsi="Arial" w:cs="Arial"/>
                <w:sz w:val="22"/>
                <w:szCs w:val="22"/>
              </w:rPr>
              <w:t xml:space="preserve">Bold: I get out my comfort zone and try new things </w:t>
            </w:r>
          </w:p>
          <w:p w14:paraId="5AF25BE1" w14:textId="77777777" w:rsidR="00A543FD" w:rsidRPr="008341FE" w:rsidRDefault="00A543FD" w:rsidP="00250273">
            <w:pPr>
              <w:pStyle w:val="ListParagraph"/>
              <w:numPr>
                <w:ilvl w:val="0"/>
                <w:numId w:val="4"/>
              </w:numPr>
              <w:contextualSpacing/>
              <w:rPr>
                <w:rFonts w:ascii="Arial" w:hAnsi="Arial" w:cs="Arial"/>
                <w:sz w:val="22"/>
                <w:szCs w:val="22"/>
              </w:rPr>
            </w:pPr>
            <w:r w:rsidRPr="008341FE">
              <w:rPr>
                <w:rFonts w:ascii="Arial" w:hAnsi="Arial" w:cs="Arial"/>
                <w:sz w:val="22"/>
                <w:szCs w:val="22"/>
              </w:rPr>
              <w:t>Motivated: I welcome feedback and want to succeed</w:t>
            </w:r>
          </w:p>
          <w:p w14:paraId="1EBB9D48" w14:textId="77777777" w:rsidR="00A543FD" w:rsidRPr="008341FE" w:rsidRDefault="00A543FD" w:rsidP="00A543FD">
            <w:pPr>
              <w:ind w:left="720"/>
              <w:rPr>
                <w:rFonts w:ascii="Arial" w:hAnsi="Arial" w:cs="Arial"/>
                <w:sz w:val="22"/>
                <w:szCs w:val="22"/>
              </w:rPr>
            </w:pPr>
          </w:p>
          <w:p w14:paraId="1E8DA521" w14:textId="77777777" w:rsidR="00A543FD" w:rsidRPr="008341FE" w:rsidRDefault="00A543FD" w:rsidP="00A543FD">
            <w:pPr>
              <w:rPr>
                <w:rFonts w:ascii="Arial" w:hAnsi="Arial" w:cs="Arial"/>
                <w:sz w:val="22"/>
                <w:szCs w:val="22"/>
              </w:rPr>
            </w:pPr>
            <w:r w:rsidRPr="008341FE">
              <w:rPr>
                <w:rFonts w:ascii="Arial" w:hAnsi="Arial" w:cs="Arial"/>
                <w:b/>
                <w:sz w:val="22"/>
                <w:szCs w:val="22"/>
              </w:rPr>
              <w:t>Accountable</w:t>
            </w:r>
            <w:r w:rsidRPr="008341FE">
              <w:rPr>
                <w:rFonts w:ascii="Arial" w:hAnsi="Arial" w:cs="Arial"/>
                <w:sz w:val="22"/>
                <w:szCs w:val="22"/>
              </w:rPr>
              <w:t xml:space="preserve"> – I take personal ownership and responsibility to get things done I make things happen by empowering and delivering through the team and using resources effectively </w:t>
            </w:r>
          </w:p>
          <w:p w14:paraId="3B04B1E3" w14:textId="77777777" w:rsidR="00A543FD" w:rsidRPr="008341FE" w:rsidRDefault="00A543FD" w:rsidP="00250273">
            <w:pPr>
              <w:pStyle w:val="ListParagraph"/>
              <w:numPr>
                <w:ilvl w:val="0"/>
                <w:numId w:val="5"/>
              </w:numPr>
              <w:contextualSpacing/>
              <w:rPr>
                <w:rFonts w:ascii="Arial" w:hAnsi="Arial" w:cs="Arial"/>
                <w:sz w:val="22"/>
                <w:szCs w:val="22"/>
              </w:rPr>
            </w:pPr>
            <w:r w:rsidRPr="008341FE">
              <w:rPr>
                <w:rFonts w:ascii="Arial" w:hAnsi="Arial" w:cs="Arial"/>
                <w:sz w:val="22"/>
                <w:szCs w:val="22"/>
              </w:rPr>
              <w:t>Resilient: I work hard to make things happen</w:t>
            </w:r>
          </w:p>
          <w:p w14:paraId="3E293592" w14:textId="77777777" w:rsidR="00A543FD" w:rsidRPr="008341FE" w:rsidRDefault="00A543FD" w:rsidP="00250273">
            <w:pPr>
              <w:pStyle w:val="ListParagraph"/>
              <w:numPr>
                <w:ilvl w:val="0"/>
                <w:numId w:val="5"/>
              </w:numPr>
              <w:contextualSpacing/>
              <w:rPr>
                <w:rFonts w:ascii="Arial" w:hAnsi="Arial" w:cs="Arial"/>
                <w:sz w:val="22"/>
                <w:szCs w:val="22"/>
              </w:rPr>
            </w:pPr>
            <w:r w:rsidRPr="008341FE">
              <w:rPr>
                <w:rFonts w:ascii="Arial" w:hAnsi="Arial" w:cs="Arial"/>
                <w:sz w:val="22"/>
                <w:szCs w:val="22"/>
              </w:rPr>
              <w:t>Disciplined: I am realistic and do what I say I will do</w:t>
            </w:r>
          </w:p>
          <w:p w14:paraId="4DF8EF4A" w14:textId="77777777" w:rsidR="00A543FD" w:rsidRPr="008341FE" w:rsidRDefault="00A543FD" w:rsidP="00250273">
            <w:pPr>
              <w:pStyle w:val="ListParagraph"/>
              <w:numPr>
                <w:ilvl w:val="0"/>
                <w:numId w:val="5"/>
              </w:numPr>
              <w:contextualSpacing/>
              <w:rPr>
                <w:rFonts w:ascii="Arial" w:hAnsi="Arial" w:cs="Arial"/>
                <w:sz w:val="22"/>
                <w:szCs w:val="22"/>
              </w:rPr>
            </w:pPr>
            <w:r w:rsidRPr="008341FE">
              <w:rPr>
                <w:rFonts w:ascii="Arial" w:hAnsi="Arial" w:cs="Arial"/>
                <w:sz w:val="22"/>
                <w:szCs w:val="22"/>
              </w:rPr>
              <w:t>Personal ownership: I take ownership of an issue until it is resolved</w:t>
            </w:r>
          </w:p>
          <w:p w14:paraId="6200CE23" w14:textId="77777777" w:rsidR="00A543FD" w:rsidRPr="008341FE" w:rsidRDefault="00A543FD" w:rsidP="00250273">
            <w:pPr>
              <w:pStyle w:val="ListParagraph"/>
              <w:numPr>
                <w:ilvl w:val="0"/>
                <w:numId w:val="5"/>
              </w:numPr>
              <w:contextualSpacing/>
              <w:rPr>
                <w:rFonts w:ascii="Arial" w:hAnsi="Arial" w:cs="Arial"/>
                <w:sz w:val="22"/>
                <w:szCs w:val="22"/>
              </w:rPr>
            </w:pPr>
            <w:r w:rsidRPr="008341FE">
              <w:rPr>
                <w:rFonts w:ascii="Arial" w:hAnsi="Arial" w:cs="Arial"/>
                <w:sz w:val="22"/>
                <w:szCs w:val="22"/>
              </w:rPr>
              <w:t>Confident: I make decisions that are within my remit</w:t>
            </w:r>
          </w:p>
          <w:p w14:paraId="53F0EFE7" w14:textId="77777777" w:rsidR="00A543FD" w:rsidRPr="008341FE" w:rsidRDefault="00A543FD" w:rsidP="00A543FD">
            <w:pPr>
              <w:pStyle w:val="ListParagraph"/>
              <w:rPr>
                <w:rFonts w:ascii="Arial" w:hAnsi="Arial" w:cs="Arial"/>
                <w:sz w:val="22"/>
                <w:szCs w:val="22"/>
              </w:rPr>
            </w:pPr>
          </w:p>
          <w:p w14:paraId="5D304CEE" w14:textId="77777777" w:rsidR="00A543FD" w:rsidRPr="008341FE" w:rsidRDefault="00A543FD" w:rsidP="00A543FD">
            <w:pPr>
              <w:rPr>
                <w:rFonts w:ascii="Arial" w:hAnsi="Arial" w:cs="Arial"/>
                <w:sz w:val="22"/>
                <w:szCs w:val="22"/>
              </w:rPr>
            </w:pPr>
            <w:r w:rsidRPr="008341FE">
              <w:rPr>
                <w:rFonts w:ascii="Arial" w:hAnsi="Arial" w:cs="Arial"/>
                <w:b/>
                <w:sz w:val="22"/>
                <w:szCs w:val="22"/>
              </w:rPr>
              <w:t>Respect</w:t>
            </w:r>
            <w:r w:rsidRPr="008341FE">
              <w:rPr>
                <w:rFonts w:ascii="Arial" w:hAnsi="Arial" w:cs="Arial"/>
                <w:sz w:val="22"/>
                <w:szCs w:val="22"/>
              </w:rPr>
              <w:t xml:space="preserve"> – I treat everyone with respect and understanding I arrive on time and take full part in meetings</w:t>
            </w:r>
          </w:p>
          <w:p w14:paraId="21042266" w14:textId="77777777" w:rsidR="00A543FD" w:rsidRPr="008341FE" w:rsidRDefault="00A543FD" w:rsidP="00250273">
            <w:pPr>
              <w:pStyle w:val="ListParagraph"/>
              <w:numPr>
                <w:ilvl w:val="0"/>
                <w:numId w:val="3"/>
              </w:numPr>
              <w:contextualSpacing/>
              <w:rPr>
                <w:rFonts w:ascii="Arial" w:hAnsi="Arial" w:cs="Arial"/>
                <w:sz w:val="22"/>
                <w:szCs w:val="22"/>
              </w:rPr>
            </w:pPr>
            <w:r w:rsidRPr="008341FE">
              <w:rPr>
                <w:rFonts w:ascii="Arial" w:hAnsi="Arial" w:cs="Arial"/>
                <w:sz w:val="22"/>
                <w:szCs w:val="22"/>
              </w:rPr>
              <w:t>Prepared: I arrive on time and take full part in meetings</w:t>
            </w:r>
          </w:p>
          <w:p w14:paraId="36A87806" w14:textId="77777777" w:rsidR="00A543FD" w:rsidRPr="008341FE" w:rsidRDefault="00A543FD" w:rsidP="00250273">
            <w:pPr>
              <w:pStyle w:val="ListParagraph"/>
              <w:numPr>
                <w:ilvl w:val="0"/>
                <w:numId w:val="3"/>
              </w:numPr>
              <w:contextualSpacing/>
              <w:rPr>
                <w:rFonts w:ascii="Arial" w:hAnsi="Arial" w:cs="Arial"/>
                <w:sz w:val="22"/>
                <w:szCs w:val="22"/>
              </w:rPr>
            </w:pPr>
            <w:r w:rsidRPr="008341FE">
              <w:rPr>
                <w:rFonts w:ascii="Arial" w:hAnsi="Arial" w:cs="Arial"/>
                <w:sz w:val="22"/>
                <w:szCs w:val="22"/>
              </w:rPr>
              <w:t>Communicator: I listen to others and work hard to communicate well</w:t>
            </w:r>
          </w:p>
          <w:p w14:paraId="78115744" w14:textId="77777777" w:rsidR="00A543FD" w:rsidRPr="008341FE" w:rsidRDefault="00A543FD" w:rsidP="00250273">
            <w:pPr>
              <w:pStyle w:val="ListParagraph"/>
              <w:numPr>
                <w:ilvl w:val="0"/>
                <w:numId w:val="3"/>
              </w:numPr>
              <w:contextualSpacing/>
              <w:rPr>
                <w:rFonts w:ascii="Arial" w:hAnsi="Arial" w:cs="Arial"/>
                <w:sz w:val="22"/>
                <w:szCs w:val="22"/>
              </w:rPr>
            </w:pPr>
            <w:r w:rsidRPr="008341FE">
              <w:rPr>
                <w:rFonts w:ascii="Arial" w:hAnsi="Arial" w:cs="Arial"/>
                <w:sz w:val="22"/>
                <w:szCs w:val="22"/>
              </w:rPr>
              <w:t xml:space="preserve">Responsive: I always answer a ringing phone and respond quickly </w:t>
            </w:r>
          </w:p>
          <w:p w14:paraId="4C4DCAC8" w14:textId="4C332E03" w:rsidR="00A543FD" w:rsidRPr="008341FE" w:rsidRDefault="00FA7136" w:rsidP="00250273">
            <w:pPr>
              <w:numPr>
                <w:ilvl w:val="0"/>
                <w:numId w:val="3"/>
              </w:numPr>
              <w:rPr>
                <w:rFonts w:ascii="Arial" w:hAnsi="Arial" w:cs="Arial"/>
                <w:b/>
                <w:bCs/>
                <w:sz w:val="22"/>
                <w:szCs w:val="22"/>
              </w:rPr>
            </w:pPr>
            <w:r w:rsidRPr="008341FE">
              <w:rPr>
                <w:rFonts w:ascii="Arial" w:hAnsi="Arial" w:cs="Arial"/>
                <w:sz w:val="22"/>
                <w:szCs w:val="22"/>
              </w:rPr>
              <w:t>Self-aware</w:t>
            </w:r>
            <w:r w:rsidR="00A543FD" w:rsidRPr="008341FE">
              <w:rPr>
                <w:rFonts w:ascii="Arial" w:hAnsi="Arial" w:cs="Arial"/>
                <w:sz w:val="22"/>
                <w:szCs w:val="22"/>
              </w:rPr>
              <w:t>: I put myself in others’ shoes and understand how my actions impact on others</w:t>
            </w:r>
          </w:p>
          <w:p w14:paraId="5F6936E4" w14:textId="77777777" w:rsidR="00A543FD" w:rsidRPr="008341FE" w:rsidRDefault="00A543FD" w:rsidP="00A543FD">
            <w:pPr>
              <w:ind w:left="360"/>
              <w:rPr>
                <w:rFonts w:ascii="Arial" w:hAnsi="Arial" w:cs="Arial"/>
                <w:b/>
                <w:bCs/>
                <w:sz w:val="22"/>
                <w:szCs w:val="22"/>
              </w:rPr>
            </w:pPr>
          </w:p>
          <w:p w14:paraId="626BB9AB" w14:textId="77777777" w:rsidR="00A543FD" w:rsidRPr="008341FE" w:rsidRDefault="00A543FD" w:rsidP="00A543FD">
            <w:pPr>
              <w:rPr>
                <w:rFonts w:ascii="Arial" w:hAnsi="Arial" w:cs="Arial"/>
                <w:sz w:val="22"/>
                <w:szCs w:val="22"/>
              </w:rPr>
            </w:pPr>
            <w:r w:rsidRPr="008341FE">
              <w:rPr>
                <w:rFonts w:ascii="Arial" w:hAnsi="Arial" w:cs="Arial"/>
                <w:b/>
                <w:sz w:val="22"/>
                <w:szCs w:val="22"/>
              </w:rPr>
              <w:t>Together</w:t>
            </w:r>
            <w:r w:rsidRPr="008341FE">
              <w:rPr>
                <w:rFonts w:ascii="Arial" w:hAnsi="Arial" w:cs="Arial"/>
                <w:sz w:val="22"/>
                <w:szCs w:val="22"/>
              </w:rPr>
              <w:t xml:space="preserve"> – I am proud to be one team</w:t>
            </w:r>
          </w:p>
          <w:p w14:paraId="59BEC417" w14:textId="77777777" w:rsidR="00A543FD" w:rsidRPr="008341FE" w:rsidRDefault="00A543FD" w:rsidP="00250273">
            <w:pPr>
              <w:pStyle w:val="ListParagraph"/>
              <w:numPr>
                <w:ilvl w:val="0"/>
                <w:numId w:val="6"/>
              </w:numPr>
              <w:contextualSpacing/>
              <w:rPr>
                <w:rFonts w:ascii="Arial" w:hAnsi="Arial" w:cs="Arial"/>
                <w:sz w:val="22"/>
                <w:szCs w:val="22"/>
              </w:rPr>
            </w:pPr>
            <w:r w:rsidRPr="008341FE">
              <w:rPr>
                <w:rFonts w:ascii="Arial" w:hAnsi="Arial" w:cs="Arial"/>
                <w:sz w:val="22"/>
                <w:szCs w:val="22"/>
              </w:rPr>
              <w:t xml:space="preserve">Positive: I talk positively about </w:t>
            </w:r>
            <w:r w:rsidR="000C037F">
              <w:rPr>
                <w:rFonts w:ascii="Arial" w:hAnsi="Arial" w:cs="Arial"/>
                <w:sz w:val="22"/>
                <w:szCs w:val="22"/>
              </w:rPr>
              <w:t>SW9 CH</w:t>
            </w:r>
            <w:r w:rsidRPr="008341FE">
              <w:rPr>
                <w:rFonts w:ascii="Arial" w:hAnsi="Arial" w:cs="Arial"/>
                <w:sz w:val="22"/>
                <w:szCs w:val="22"/>
              </w:rPr>
              <w:t xml:space="preserve"> as one team </w:t>
            </w:r>
          </w:p>
          <w:p w14:paraId="06758093" w14:textId="77777777" w:rsidR="00A543FD" w:rsidRPr="008341FE" w:rsidRDefault="00A543FD" w:rsidP="00250273">
            <w:pPr>
              <w:pStyle w:val="ListParagraph"/>
              <w:numPr>
                <w:ilvl w:val="0"/>
                <w:numId w:val="6"/>
              </w:numPr>
              <w:contextualSpacing/>
              <w:rPr>
                <w:rFonts w:ascii="Arial" w:hAnsi="Arial" w:cs="Arial"/>
                <w:sz w:val="22"/>
                <w:szCs w:val="22"/>
              </w:rPr>
            </w:pPr>
            <w:r w:rsidRPr="008341FE">
              <w:rPr>
                <w:rFonts w:ascii="Arial" w:hAnsi="Arial" w:cs="Arial"/>
                <w:sz w:val="22"/>
                <w:szCs w:val="22"/>
              </w:rPr>
              <w:t xml:space="preserve">Proactive: I put myself forward and build great relationships </w:t>
            </w:r>
          </w:p>
          <w:p w14:paraId="64D22F30" w14:textId="77777777" w:rsidR="00C645F9" w:rsidRDefault="00A543FD" w:rsidP="00250273">
            <w:pPr>
              <w:pStyle w:val="ListParagraph"/>
              <w:numPr>
                <w:ilvl w:val="0"/>
                <w:numId w:val="6"/>
              </w:numPr>
              <w:contextualSpacing/>
              <w:rPr>
                <w:rFonts w:ascii="Arial" w:hAnsi="Arial" w:cs="Arial"/>
                <w:sz w:val="22"/>
                <w:szCs w:val="22"/>
              </w:rPr>
            </w:pPr>
            <w:r w:rsidRPr="008341FE">
              <w:rPr>
                <w:rFonts w:ascii="Arial" w:hAnsi="Arial" w:cs="Arial"/>
                <w:sz w:val="22"/>
                <w:szCs w:val="22"/>
              </w:rPr>
              <w:lastRenderedPageBreak/>
              <w:t>Supportive: I support and recognise the contribution of others</w:t>
            </w:r>
          </w:p>
          <w:p w14:paraId="6E692F95" w14:textId="77777777" w:rsidR="00634CF2" w:rsidRPr="00C645F9" w:rsidRDefault="00A543FD" w:rsidP="00250273">
            <w:pPr>
              <w:pStyle w:val="ListParagraph"/>
              <w:numPr>
                <w:ilvl w:val="0"/>
                <w:numId w:val="6"/>
              </w:numPr>
              <w:contextualSpacing/>
              <w:rPr>
                <w:rFonts w:ascii="Arial" w:hAnsi="Arial" w:cs="Arial"/>
                <w:sz w:val="22"/>
                <w:szCs w:val="22"/>
              </w:rPr>
            </w:pPr>
            <w:r w:rsidRPr="00C645F9">
              <w:rPr>
                <w:rFonts w:ascii="Arial" w:hAnsi="Arial" w:cs="Arial"/>
                <w:sz w:val="22"/>
                <w:szCs w:val="22"/>
              </w:rPr>
              <w:t>Role model: I genuinely believe I make the difference</w:t>
            </w:r>
          </w:p>
        </w:tc>
      </w:tr>
    </w:tbl>
    <w:p w14:paraId="1D3A4A71" w14:textId="77777777" w:rsidR="00262CF7" w:rsidRDefault="00262CF7">
      <w:pPr>
        <w:ind w:left="360"/>
        <w:rPr>
          <w:rFonts w:ascii="Arial" w:hAnsi="Arial" w:cs="Arial"/>
          <w:sz w:val="22"/>
          <w:szCs w:val="22"/>
        </w:rPr>
      </w:pPr>
    </w:p>
    <w:sectPr w:rsidR="00262CF7" w:rsidSect="000033FB">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87D"/>
    <w:multiLevelType w:val="hybridMultilevel"/>
    <w:tmpl w:val="51F6E1DA"/>
    <w:lvl w:ilvl="0" w:tplc="08EECCF8">
      <w:numFmt w:val="bullet"/>
      <w:lvlText w:val=""/>
      <w:lvlJc w:val="left"/>
      <w:pPr>
        <w:ind w:left="679" w:hanging="425"/>
      </w:pPr>
      <w:rPr>
        <w:rFonts w:ascii="Symbol" w:eastAsia="Symbol" w:hAnsi="Symbol" w:cs="Symbol" w:hint="default"/>
        <w:w w:val="100"/>
        <w:sz w:val="22"/>
        <w:szCs w:val="22"/>
        <w:lang w:val="en-GB" w:eastAsia="en-GB" w:bidi="en-GB"/>
      </w:rPr>
    </w:lvl>
    <w:lvl w:ilvl="1" w:tplc="C1882E9E">
      <w:numFmt w:val="bullet"/>
      <w:lvlText w:val=""/>
      <w:lvlJc w:val="left"/>
      <w:pPr>
        <w:ind w:left="820" w:hanging="284"/>
      </w:pPr>
      <w:rPr>
        <w:rFonts w:ascii="Symbol" w:eastAsia="Symbol" w:hAnsi="Symbol" w:cs="Symbol" w:hint="default"/>
        <w:w w:val="100"/>
        <w:sz w:val="22"/>
        <w:szCs w:val="22"/>
        <w:lang w:val="en-GB" w:eastAsia="en-GB" w:bidi="en-GB"/>
      </w:rPr>
    </w:lvl>
    <w:lvl w:ilvl="2" w:tplc="AF2A8CB2">
      <w:numFmt w:val="bullet"/>
      <w:lvlText w:val="•"/>
      <w:lvlJc w:val="left"/>
      <w:pPr>
        <w:ind w:left="1827" w:hanging="284"/>
      </w:pPr>
      <w:rPr>
        <w:rFonts w:hint="default"/>
        <w:lang w:val="en-GB" w:eastAsia="en-GB" w:bidi="en-GB"/>
      </w:rPr>
    </w:lvl>
    <w:lvl w:ilvl="3" w:tplc="12D4BC0A">
      <w:numFmt w:val="bullet"/>
      <w:lvlText w:val="•"/>
      <w:lvlJc w:val="left"/>
      <w:pPr>
        <w:ind w:left="2835" w:hanging="284"/>
      </w:pPr>
      <w:rPr>
        <w:rFonts w:hint="default"/>
        <w:lang w:val="en-GB" w:eastAsia="en-GB" w:bidi="en-GB"/>
      </w:rPr>
    </w:lvl>
    <w:lvl w:ilvl="4" w:tplc="3E8CF052">
      <w:numFmt w:val="bullet"/>
      <w:lvlText w:val="•"/>
      <w:lvlJc w:val="left"/>
      <w:pPr>
        <w:ind w:left="3843" w:hanging="284"/>
      </w:pPr>
      <w:rPr>
        <w:rFonts w:hint="default"/>
        <w:lang w:val="en-GB" w:eastAsia="en-GB" w:bidi="en-GB"/>
      </w:rPr>
    </w:lvl>
    <w:lvl w:ilvl="5" w:tplc="00702878">
      <w:numFmt w:val="bullet"/>
      <w:lvlText w:val="•"/>
      <w:lvlJc w:val="left"/>
      <w:pPr>
        <w:ind w:left="4850" w:hanging="284"/>
      </w:pPr>
      <w:rPr>
        <w:rFonts w:hint="default"/>
        <w:lang w:val="en-GB" w:eastAsia="en-GB" w:bidi="en-GB"/>
      </w:rPr>
    </w:lvl>
    <w:lvl w:ilvl="6" w:tplc="CFDE1B60">
      <w:numFmt w:val="bullet"/>
      <w:lvlText w:val="•"/>
      <w:lvlJc w:val="left"/>
      <w:pPr>
        <w:ind w:left="5858" w:hanging="284"/>
      </w:pPr>
      <w:rPr>
        <w:rFonts w:hint="default"/>
        <w:lang w:val="en-GB" w:eastAsia="en-GB" w:bidi="en-GB"/>
      </w:rPr>
    </w:lvl>
    <w:lvl w:ilvl="7" w:tplc="B1188214">
      <w:numFmt w:val="bullet"/>
      <w:lvlText w:val="•"/>
      <w:lvlJc w:val="left"/>
      <w:pPr>
        <w:ind w:left="6866" w:hanging="284"/>
      </w:pPr>
      <w:rPr>
        <w:rFonts w:hint="default"/>
        <w:lang w:val="en-GB" w:eastAsia="en-GB" w:bidi="en-GB"/>
      </w:rPr>
    </w:lvl>
    <w:lvl w:ilvl="8" w:tplc="E050D7C6">
      <w:numFmt w:val="bullet"/>
      <w:lvlText w:val="•"/>
      <w:lvlJc w:val="left"/>
      <w:pPr>
        <w:ind w:left="7874" w:hanging="284"/>
      </w:pPr>
      <w:rPr>
        <w:rFonts w:hint="default"/>
        <w:lang w:val="en-GB" w:eastAsia="en-GB" w:bidi="en-GB"/>
      </w:rPr>
    </w:lvl>
  </w:abstractNum>
  <w:abstractNum w:abstractNumId="1" w15:restartNumberingAfterBreak="0">
    <w:nsid w:val="0EDA6919"/>
    <w:multiLevelType w:val="hybridMultilevel"/>
    <w:tmpl w:val="5EF2F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EAE208E"/>
    <w:multiLevelType w:val="hybridMultilevel"/>
    <w:tmpl w:val="411AE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9D5"/>
    <w:multiLevelType w:val="hybridMultilevel"/>
    <w:tmpl w:val="6532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17F97"/>
    <w:multiLevelType w:val="multilevel"/>
    <w:tmpl w:val="43F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80EA7"/>
    <w:multiLevelType w:val="hybridMultilevel"/>
    <w:tmpl w:val="AD5880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B20509"/>
    <w:multiLevelType w:val="hybridMultilevel"/>
    <w:tmpl w:val="18ACF5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1364DA3"/>
    <w:multiLevelType w:val="multilevel"/>
    <w:tmpl w:val="6824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94AE1"/>
    <w:multiLevelType w:val="hybridMultilevel"/>
    <w:tmpl w:val="B6DCC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590F5B"/>
    <w:multiLevelType w:val="hybridMultilevel"/>
    <w:tmpl w:val="9CE6C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55EAB"/>
    <w:multiLevelType w:val="hybridMultilevel"/>
    <w:tmpl w:val="FBE2B650"/>
    <w:lvl w:ilvl="0" w:tplc="90A46F3A">
      <w:start w:val="1"/>
      <w:numFmt w:val="bullet"/>
      <w:pStyle w:val="Bullet-noindent"/>
      <w:lvlText w:val="•"/>
      <w:lvlJc w:val="left"/>
      <w:pPr>
        <w:tabs>
          <w:tab w:val="num" w:pos="1440"/>
        </w:tabs>
        <w:ind w:left="1440" w:hanging="360"/>
      </w:pPr>
      <w:rPr>
        <w:rFonts w:ascii="Times" w:hAnsi="Times" w:hint="default"/>
        <w:color w:val="ED51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D41BE"/>
    <w:multiLevelType w:val="multilevel"/>
    <w:tmpl w:val="94D0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B62B6"/>
    <w:multiLevelType w:val="hybridMultilevel"/>
    <w:tmpl w:val="75281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8C4CEC"/>
    <w:multiLevelType w:val="hybridMultilevel"/>
    <w:tmpl w:val="9B826E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06D5F8A"/>
    <w:multiLevelType w:val="hybridMultilevel"/>
    <w:tmpl w:val="1654D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0FE0C28"/>
    <w:multiLevelType w:val="multilevel"/>
    <w:tmpl w:val="FA88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266D2"/>
    <w:multiLevelType w:val="multilevel"/>
    <w:tmpl w:val="AEFA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348045">
    <w:abstractNumId w:val="10"/>
  </w:num>
  <w:num w:numId="2" w16cid:durableId="793017647">
    <w:abstractNumId w:val="2"/>
  </w:num>
  <w:num w:numId="3" w16cid:durableId="1911229464">
    <w:abstractNumId w:val="9"/>
  </w:num>
  <w:num w:numId="4" w16cid:durableId="900096395">
    <w:abstractNumId w:val="12"/>
  </w:num>
  <w:num w:numId="5" w16cid:durableId="1680309741">
    <w:abstractNumId w:val="5"/>
  </w:num>
  <w:num w:numId="6" w16cid:durableId="1320891189">
    <w:abstractNumId w:val="8"/>
  </w:num>
  <w:num w:numId="7" w16cid:durableId="263540865">
    <w:abstractNumId w:val="0"/>
  </w:num>
  <w:num w:numId="8" w16cid:durableId="1519852459">
    <w:abstractNumId w:val="11"/>
  </w:num>
  <w:num w:numId="9" w16cid:durableId="1920481696">
    <w:abstractNumId w:val="4"/>
  </w:num>
  <w:num w:numId="10" w16cid:durableId="2094429958">
    <w:abstractNumId w:val="15"/>
  </w:num>
  <w:num w:numId="11" w16cid:durableId="1099911989">
    <w:abstractNumId w:val="16"/>
  </w:num>
  <w:num w:numId="12" w16cid:durableId="1771969752">
    <w:abstractNumId w:val="7"/>
  </w:num>
  <w:num w:numId="13" w16cid:durableId="15162950">
    <w:abstractNumId w:val="13"/>
  </w:num>
  <w:num w:numId="14" w16cid:durableId="1221751454">
    <w:abstractNumId w:val="14"/>
  </w:num>
  <w:num w:numId="15" w16cid:durableId="1133059390">
    <w:abstractNumId w:val="1"/>
  </w:num>
  <w:num w:numId="16" w16cid:durableId="773790295">
    <w:abstractNumId w:val="6"/>
  </w:num>
  <w:num w:numId="17" w16cid:durableId="62994568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0"/>
    <w:rsid w:val="000033FB"/>
    <w:rsid w:val="0002206D"/>
    <w:rsid w:val="00023515"/>
    <w:rsid w:val="00027BC5"/>
    <w:rsid w:val="000736A6"/>
    <w:rsid w:val="000954D4"/>
    <w:rsid w:val="000A024A"/>
    <w:rsid w:val="000B722B"/>
    <w:rsid w:val="000C037F"/>
    <w:rsid w:val="000E6AC5"/>
    <w:rsid w:val="000F5070"/>
    <w:rsid w:val="00102DAA"/>
    <w:rsid w:val="001071D9"/>
    <w:rsid w:val="00111379"/>
    <w:rsid w:val="00115ECD"/>
    <w:rsid w:val="00133F60"/>
    <w:rsid w:val="001349B8"/>
    <w:rsid w:val="00170E3D"/>
    <w:rsid w:val="00174790"/>
    <w:rsid w:val="00182A8D"/>
    <w:rsid w:val="001A2F3B"/>
    <w:rsid w:val="001A7A86"/>
    <w:rsid w:val="001E0C39"/>
    <w:rsid w:val="00210EAC"/>
    <w:rsid w:val="00210FDD"/>
    <w:rsid w:val="00214FAC"/>
    <w:rsid w:val="002166F2"/>
    <w:rsid w:val="00240D4F"/>
    <w:rsid w:val="00250273"/>
    <w:rsid w:val="002566F1"/>
    <w:rsid w:val="002625A6"/>
    <w:rsid w:val="00262CF7"/>
    <w:rsid w:val="00284C75"/>
    <w:rsid w:val="002A4C73"/>
    <w:rsid w:val="002B6E94"/>
    <w:rsid w:val="002D0EE4"/>
    <w:rsid w:val="002D18D1"/>
    <w:rsid w:val="002D6F1D"/>
    <w:rsid w:val="002E26D1"/>
    <w:rsid w:val="002E5317"/>
    <w:rsid w:val="00300F91"/>
    <w:rsid w:val="003069D5"/>
    <w:rsid w:val="00316516"/>
    <w:rsid w:val="003165B6"/>
    <w:rsid w:val="003371AF"/>
    <w:rsid w:val="00344450"/>
    <w:rsid w:val="0034593D"/>
    <w:rsid w:val="003637E4"/>
    <w:rsid w:val="0037586B"/>
    <w:rsid w:val="0038693C"/>
    <w:rsid w:val="00392ED6"/>
    <w:rsid w:val="003932B7"/>
    <w:rsid w:val="003C5AC3"/>
    <w:rsid w:val="003F2056"/>
    <w:rsid w:val="003F4465"/>
    <w:rsid w:val="004067CB"/>
    <w:rsid w:val="00424C9E"/>
    <w:rsid w:val="00424E22"/>
    <w:rsid w:val="00431B05"/>
    <w:rsid w:val="00455A48"/>
    <w:rsid w:val="00473E03"/>
    <w:rsid w:val="00474FE4"/>
    <w:rsid w:val="004813B7"/>
    <w:rsid w:val="00486283"/>
    <w:rsid w:val="00490C80"/>
    <w:rsid w:val="004A47C7"/>
    <w:rsid w:val="004B5442"/>
    <w:rsid w:val="004D0F31"/>
    <w:rsid w:val="004E32A0"/>
    <w:rsid w:val="004F6F81"/>
    <w:rsid w:val="0050604B"/>
    <w:rsid w:val="00512904"/>
    <w:rsid w:val="00515C61"/>
    <w:rsid w:val="00535C9C"/>
    <w:rsid w:val="00537337"/>
    <w:rsid w:val="00540390"/>
    <w:rsid w:val="005A158E"/>
    <w:rsid w:val="005B4459"/>
    <w:rsid w:val="005C054B"/>
    <w:rsid w:val="005C4AA2"/>
    <w:rsid w:val="005C76B8"/>
    <w:rsid w:val="00634CF2"/>
    <w:rsid w:val="00653DB9"/>
    <w:rsid w:val="00653E79"/>
    <w:rsid w:val="00660B18"/>
    <w:rsid w:val="00664548"/>
    <w:rsid w:val="00674A8F"/>
    <w:rsid w:val="00675813"/>
    <w:rsid w:val="006A732D"/>
    <w:rsid w:val="0070154F"/>
    <w:rsid w:val="00750B97"/>
    <w:rsid w:val="00767E89"/>
    <w:rsid w:val="00785510"/>
    <w:rsid w:val="007A304A"/>
    <w:rsid w:val="007B0CF6"/>
    <w:rsid w:val="007E0273"/>
    <w:rsid w:val="007E4891"/>
    <w:rsid w:val="007F3E13"/>
    <w:rsid w:val="007F7CC6"/>
    <w:rsid w:val="00863BF1"/>
    <w:rsid w:val="0087728B"/>
    <w:rsid w:val="008808D0"/>
    <w:rsid w:val="00885C06"/>
    <w:rsid w:val="008864F8"/>
    <w:rsid w:val="00887207"/>
    <w:rsid w:val="008B480C"/>
    <w:rsid w:val="008C15C2"/>
    <w:rsid w:val="008D305F"/>
    <w:rsid w:val="008F1F91"/>
    <w:rsid w:val="008F776B"/>
    <w:rsid w:val="00904B20"/>
    <w:rsid w:val="00933B70"/>
    <w:rsid w:val="009423D2"/>
    <w:rsid w:val="009B1A21"/>
    <w:rsid w:val="009D1B77"/>
    <w:rsid w:val="009E5D35"/>
    <w:rsid w:val="00A04C21"/>
    <w:rsid w:val="00A11310"/>
    <w:rsid w:val="00A43425"/>
    <w:rsid w:val="00A507FA"/>
    <w:rsid w:val="00A543FD"/>
    <w:rsid w:val="00A64575"/>
    <w:rsid w:val="00A770C8"/>
    <w:rsid w:val="00AB5A26"/>
    <w:rsid w:val="00AC2DF2"/>
    <w:rsid w:val="00AD05F8"/>
    <w:rsid w:val="00AE5816"/>
    <w:rsid w:val="00AF11CF"/>
    <w:rsid w:val="00B0681C"/>
    <w:rsid w:val="00B147BB"/>
    <w:rsid w:val="00B2663A"/>
    <w:rsid w:val="00B364B3"/>
    <w:rsid w:val="00B426F0"/>
    <w:rsid w:val="00B70473"/>
    <w:rsid w:val="00B83E5C"/>
    <w:rsid w:val="00BA1635"/>
    <w:rsid w:val="00BC2BC0"/>
    <w:rsid w:val="00BD41ED"/>
    <w:rsid w:val="00BF0BE3"/>
    <w:rsid w:val="00BF4E65"/>
    <w:rsid w:val="00BF5B61"/>
    <w:rsid w:val="00C058FE"/>
    <w:rsid w:val="00C11B0F"/>
    <w:rsid w:val="00C318E0"/>
    <w:rsid w:val="00C5386D"/>
    <w:rsid w:val="00C641A8"/>
    <w:rsid w:val="00C645F9"/>
    <w:rsid w:val="00C868FD"/>
    <w:rsid w:val="00C94A3E"/>
    <w:rsid w:val="00CA5324"/>
    <w:rsid w:val="00CB4916"/>
    <w:rsid w:val="00CD335D"/>
    <w:rsid w:val="00CD4219"/>
    <w:rsid w:val="00CD53DE"/>
    <w:rsid w:val="00CE05B1"/>
    <w:rsid w:val="00D1197B"/>
    <w:rsid w:val="00D352D4"/>
    <w:rsid w:val="00D404ED"/>
    <w:rsid w:val="00D50857"/>
    <w:rsid w:val="00D51A4B"/>
    <w:rsid w:val="00D65D33"/>
    <w:rsid w:val="00D7433D"/>
    <w:rsid w:val="00D86411"/>
    <w:rsid w:val="00DA004F"/>
    <w:rsid w:val="00DC1127"/>
    <w:rsid w:val="00DC4228"/>
    <w:rsid w:val="00E033EF"/>
    <w:rsid w:val="00E17F99"/>
    <w:rsid w:val="00E468F3"/>
    <w:rsid w:val="00E75233"/>
    <w:rsid w:val="00E939BB"/>
    <w:rsid w:val="00E93D16"/>
    <w:rsid w:val="00EC6706"/>
    <w:rsid w:val="00ED720B"/>
    <w:rsid w:val="00EF0B19"/>
    <w:rsid w:val="00F25FBA"/>
    <w:rsid w:val="00F37E1D"/>
    <w:rsid w:val="00F44A54"/>
    <w:rsid w:val="00F56A0A"/>
    <w:rsid w:val="00F611AA"/>
    <w:rsid w:val="00F66747"/>
    <w:rsid w:val="00F714B0"/>
    <w:rsid w:val="00F80C8D"/>
    <w:rsid w:val="00F84369"/>
    <w:rsid w:val="00F966BB"/>
    <w:rsid w:val="00FA47B3"/>
    <w:rsid w:val="00FA5DAC"/>
    <w:rsid w:val="00FA7136"/>
    <w:rsid w:val="00FE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13F0"/>
  <w15:chartTrackingRefBased/>
  <w15:docId w15:val="{CCC16AB9-6AE1-4453-93D7-48F843B3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szCs w:val="22"/>
    </w:rPr>
  </w:style>
  <w:style w:type="paragraph" w:styleId="Heading2">
    <w:name w:val="heading 2"/>
    <w:basedOn w:val="Normal"/>
    <w:next w:val="Normal"/>
    <w:qFormat/>
    <w:pPr>
      <w:keepNext/>
      <w:outlineLvl w:val="1"/>
    </w:pPr>
    <w:rPr>
      <w:rFonts w:ascii="Arial" w:hAnsi="Arial" w:cs="Arial"/>
      <w:b/>
      <w:bCs/>
      <w:color w:val="000000"/>
      <w:sz w:val="22"/>
    </w:rPr>
  </w:style>
  <w:style w:type="paragraph" w:styleId="Heading4">
    <w:name w:val="heading 4"/>
    <w:basedOn w:val="Normal"/>
    <w:next w:val="Normal"/>
    <w:link w:val="Heading4Char"/>
    <w:uiPriority w:val="9"/>
    <w:semiHidden/>
    <w:unhideWhenUsed/>
    <w:qFormat/>
    <w:rsid w:val="00C11B0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semiHidden/>
    <w:pPr>
      <w:autoSpaceDE w:val="0"/>
      <w:autoSpaceDN w:val="0"/>
      <w:adjustRightInd w:val="0"/>
    </w:pPr>
    <w:rPr>
      <w:rFonts w:ascii="Arial" w:hAnsi="Arial"/>
      <w:sz w:val="20"/>
      <w:lang w:val="en-US" w:eastAsia="en-US"/>
    </w:rPr>
  </w:style>
  <w:style w:type="paragraph" w:styleId="Header">
    <w:name w:val="header"/>
    <w:basedOn w:val="Normal"/>
    <w:pPr>
      <w:tabs>
        <w:tab w:val="center" w:pos="4153"/>
        <w:tab w:val="right" w:pos="8306"/>
      </w:tabs>
    </w:pPr>
  </w:style>
  <w:style w:type="paragraph" w:styleId="EndnoteText">
    <w:name w:val="endnote text"/>
    <w:basedOn w:val="Normal"/>
    <w:semiHidden/>
    <w:pPr>
      <w:widowControl w:val="0"/>
    </w:pPr>
    <w:rPr>
      <w:snapToGrid w:val="0"/>
      <w:szCs w:val="20"/>
      <w:lang w:eastAsia="en-US"/>
    </w:rPr>
  </w:style>
  <w:style w:type="paragraph" w:styleId="BodyText">
    <w:name w:val="Body Text"/>
    <w:basedOn w:val="Normal"/>
    <w:semiHidden/>
    <w:pPr>
      <w:widowControl w:val="0"/>
      <w:autoSpaceDE w:val="0"/>
      <w:autoSpaceDN w:val="0"/>
      <w:jc w:val="both"/>
    </w:pPr>
    <w:rPr>
      <w:rFonts w:ascii="Arial" w:hAnsi="Arial" w:cs="Arial"/>
      <w:spacing w:val="-3"/>
      <w:sz w:val="22"/>
      <w:szCs w:val="22"/>
    </w:rPr>
  </w:style>
  <w:style w:type="paragraph" w:customStyle="1" w:styleId="Bullet-noindent">
    <w:name w:val="Bullet - no indent"/>
    <w:basedOn w:val="Normal"/>
    <w:pPr>
      <w:numPr>
        <w:numId w:val="1"/>
      </w:numPr>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C15C2"/>
    <w:pPr>
      <w:ind w:left="720"/>
    </w:pPr>
  </w:style>
  <w:style w:type="paragraph" w:styleId="BodyText2">
    <w:name w:val="Body Text 2"/>
    <w:basedOn w:val="Normal"/>
    <w:link w:val="BodyText2Char"/>
    <w:rsid w:val="00BA1635"/>
    <w:rPr>
      <w:rFonts w:ascii="Tahoma" w:hAnsi="Tahoma"/>
      <w:szCs w:val="20"/>
      <w:lang w:eastAsia="en-US"/>
    </w:rPr>
  </w:style>
  <w:style w:type="character" w:customStyle="1" w:styleId="BodyText2Char">
    <w:name w:val="Body Text 2 Char"/>
    <w:link w:val="BodyText2"/>
    <w:rsid w:val="00BA1635"/>
    <w:rPr>
      <w:rFonts w:ascii="Tahoma" w:hAnsi="Tahoma"/>
      <w:sz w:val="24"/>
      <w:lang w:eastAsia="en-US"/>
    </w:rPr>
  </w:style>
  <w:style w:type="paragraph" w:customStyle="1" w:styleId="TableParagraph">
    <w:name w:val="Table Paragraph"/>
    <w:basedOn w:val="Normal"/>
    <w:uiPriority w:val="1"/>
    <w:qFormat/>
    <w:rsid w:val="008F1F91"/>
    <w:pPr>
      <w:widowControl w:val="0"/>
      <w:autoSpaceDE w:val="0"/>
      <w:autoSpaceDN w:val="0"/>
    </w:pPr>
    <w:rPr>
      <w:rFonts w:ascii="Arial" w:eastAsia="Arial" w:hAnsi="Arial" w:cs="Arial"/>
      <w:sz w:val="22"/>
      <w:szCs w:val="22"/>
      <w:lang w:bidi="en-GB"/>
    </w:rPr>
  </w:style>
  <w:style w:type="character" w:styleId="CommentReference">
    <w:name w:val="annotation reference"/>
    <w:basedOn w:val="DefaultParagraphFont"/>
    <w:uiPriority w:val="99"/>
    <w:semiHidden/>
    <w:unhideWhenUsed/>
    <w:rsid w:val="000954D4"/>
    <w:rPr>
      <w:sz w:val="16"/>
      <w:szCs w:val="16"/>
    </w:rPr>
  </w:style>
  <w:style w:type="paragraph" w:styleId="CommentText">
    <w:name w:val="annotation text"/>
    <w:basedOn w:val="Normal"/>
    <w:link w:val="CommentTextChar"/>
    <w:uiPriority w:val="99"/>
    <w:semiHidden/>
    <w:unhideWhenUsed/>
    <w:rsid w:val="000954D4"/>
    <w:rPr>
      <w:sz w:val="20"/>
      <w:szCs w:val="20"/>
    </w:rPr>
  </w:style>
  <w:style w:type="character" w:customStyle="1" w:styleId="CommentTextChar">
    <w:name w:val="Comment Text Char"/>
    <w:basedOn w:val="DefaultParagraphFont"/>
    <w:link w:val="CommentText"/>
    <w:uiPriority w:val="99"/>
    <w:semiHidden/>
    <w:rsid w:val="000954D4"/>
  </w:style>
  <w:style w:type="paragraph" w:styleId="CommentSubject">
    <w:name w:val="annotation subject"/>
    <w:basedOn w:val="CommentText"/>
    <w:next w:val="CommentText"/>
    <w:link w:val="CommentSubjectChar"/>
    <w:uiPriority w:val="99"/>
    <w:semiHidden/>
    <w:unhideWhenUsed/>
    <w:rsid w:val="000954D4"/>
    <w:rPr>
      <w:b/>
      <w:bCs/>
    </w:rPr>
  </w:style>
  <w:style w:type="character" w:customStyle="1" w:styleId="CommentSubjectChar">
    <w:name w:val="Comment Subject Char"/>
    <w:basedOn w:val="CommentTextChar"/>
    <w:link w:val="CommentSubject"/>
    <w:uiPriority w:val="99"/>
    <w:semiHidden/>
    <w:rsid w:val="000954D4"/>
    <w:rPr>
      <w:b/>
      <w:bCs/>
    </w:rPr>
  </w:style>
  <w:style w:type="character" w:styleId="Strong">
    <w:name w:val="Strong"/>
    <w:basedOn w:val="DefaultParagraphFont"/>
    <w:uiPriority w:val="22"/>
    <w:qFormat/>
    <w:rsid w:val="00C11B0F"/>
    <w:rPr>
      <w:b/>
      <w:bCs/>
    </w:rPr>
  </w:style>
  <w:style w:type="character" w:customStyle="1" w:styleId="Heading4Char">
    <w:name w:val="Heading 4 Char"/>
    <w:basedOn w:val="DefaultParagraphFont"/>
    <w:link w:val="Heading4"/>
    <w:uiPriority w:val="9"/>
    <w:semiHidden/>
    <w:rsid w:val="00C11B0F"/>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718">
      <w:bodyDiv w:val="1"/>
      <w:marLeft w:val="0"/>
      <w:marRight w:val="0"/>
      <w:marTop w:val="0"/>
      <w:marBottom w:val="0"/>
      <w:divBdr>
        <w:top w:val="none" w:sz="0" w:space="0" w:color="auto"/>
        <w:left w:val="none" w:sz="0" w:space="0" w:color="auto"/>
        <w:bottom w:val="none" w:sz="0" w:space="0" w:color="auto"/>
        <w:right w:val="none" w:sz="0" w:space="0" w:color="auto"/>
      </w:divBdr>
    </w:div>
    <w:div w:id="776679064">
      <w:bodyDiv w:val="1"/>
      <w:marLeft w:val="0"/>
      <w:marRight w:val="0"/>
      <w:marTop w:val="0"/>
      <w:marBottom w:val="0"/>
      <w:divBdr>
        <w:top w:val="none" w:sz="0" w:space="0" w:color="auto"/>
        <w:left w:val="none" w:sz="0" w:space="0" w:color="auto"/>
        <w:bottom w:val="none" w:sz="0" w:space="0" w:color="auto"/>
        <w:right w:val="none" w:sz="0" w:space="0" w:color="auto"/>
      </w:divBdr>
    </w:div>
    <w:div w:id="1218396279">
      <w:bodyDiv w:val="1"/>
      <w:marLeft w:val="0"/>
      <w:marRight w:val="0"/>
      <w:marTop w:val="0"/>
      <w:marBottom w:val="0"/>
      <w:divBdr>
        <w:top w:val="none" w:sz="0" w:space="0" w:color="auto"/>
        <w:left w:val="none" w:sz="0" w:space="0" w:color="auto"/>
        <w:bottom w:val="none" w:sz="0" w:space="0" w:color="auto"/>
        <w:right w:val="none" w:sz="0" w:space="0" w:color="auto"/>
      </w:divBdr>
    </w:div>
    <w:div w:id="1775401853">
      <w:bodyDiv w:val="1"/>
      <w:marLeft w:val="0"/>
      <w:marRight w:val="0"/>
      <w:marTop w:val="0"/>
      <w:marBottom w:val="0"/>
      <w:divBdr>
        <w:top w:val="none" w:sz="0" w:space="0" w:color="auto"/>
        <w:left w:val="none" w:sz="0" w:space="0" w:color="auto"/>
        <w:bottom w:val="none" w:sz="0" w:space="0" w:color="auto"/>
        <w:right w:val="none" w:sz="0" w:space="0" w:color="auto"/>
      </w:divBdr>
    </w:div>
    <w:div w:id="2070689116">
      <w:bodyDiv w:val="1"/>
      <w:marLeft w:val="0"/>
      <w:marRight w:val="0"/>
      <w:marTop w:val="0"/>
      <w:marBottom w:val="0"/>
      <w:divBdr>
        <w:top w:val="none" w:sz="0" w:space="0" w:color="auto"/>
        <w:left w:val="none" w:sz="0" w:space="0" w:color="auto"/>
        <w:bottom w:val="none" w:sz="0" w:space="0" w:color="auto"/>
        <w:right w:val="none" w:sz="0" w:space="0" w:color="auto"/>
      </w:divBdr>
    </w:div>
    <w:div w:id="20953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077d43-7c3c-4e51-91cd-36695594283c">
      <UserInfo>
        <DisplayName>Belief Otite</DisplayName>
        <AccountId>351</AccountId>
        <AccountType/>
      </UserInfo>
    </SharedWithUsers>
    <lcf76f155ced4ddcb4097134ff3c332f xmlns="4dffdc0c-702d-4a99-8812-9423c60d30b0">
      <Terms xmlns="http://schemas.microsoft.com/office/infopath/2007/PartnerControls"/>
    </lcf76f155ced4ddcb4097134ff3c332f>
    <TaxCatchAll xmlns="465a9cbd-dd0c-498a-a997-b2ae026318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78503A44D9B244ABA860FA6D37B184" ma:contentTypeVersion="19" ma:contentTypeDescription="Create a new document." ma:contentTypeScope="" ma:versionID="32511536171b722aebf9094bada9774a">
  <xsd:schema xmlns:xsd="http://www.w3.org/2001/XMLSchema" xmlns:xs="http://www.w3.org/2001/XMLSchema" xmlns:p="http://schemas.microsoft.com/office/2006/metadata/properties" xmlns:ns2="2e077d43-7c3c-4e51-91cd-36695594283c" xmlns:ns4="8f4d6b98-d4d9-4133-8f1b-61f9439e4102" xmlns:ns5="4dffdc0c-702d-4a99-8812-9423c60d30b0" xmlns:ns6="465a9cbd-dd0c-498a-a997-b2ae026318a0" targetNamespace="http://schemas.microsoft.com/office/2006/metadata/properties" ma:root="true" ma:fieldsID="c60d0e114109145c060da98449bd9b4a" ns2:_="" ns4:_="" ns5:_="" ns6:_="">
    <xsd:import namespace="2e077d43-7c3c-4e51-91cd-36695594283c"/>
    <xsd:import namespace="8f4d6b98-d4d9-4133-8f1b-61f9439e4102"/>
    <xsd:import namespace="4dffdc0c-702d-4a99-8812-9423c60d30b0"/>
    <xsd:import namespace="465a9cbd-dd0c-498a-a997-b2ae026318a0"/>
    <xsd:element name="properties">
      <xsd:complexType>
        <xsd:sequence>
          <xsd:element name="documentManagement">
            <xsd:complexType>
              <xsd:all>
                <xsd:element ref="ns2:SharedWithUsers" minOccurs="0"/>
                <xsd:element ref="ns2:SharedWithDetails" minOccurs="0"/>
                <xsd:element ref="ns4:MediaServiceAutoTags" minOccurs="0"/>
                <xsd:element ref="ns4:MediaServiceOCR" minOccurs="0"/>
                <xsd:element ref="ns5:MediaServiceMetadata" minOccurs="0"/>
                <xsd:element ref="ns5:MediaServiceFastMetadata"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6: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7d43-7c3c-4e51-91cd-366955942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6b98-d4d9-4133-8f1b-61f9439e4102"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fdc0c-702d-4a99-8812-9423c60d30b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037e07-06cc-478a-a686-395263449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9cbd-dd0c-498a-a997-b2ae026318a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e1b0610-1c65-4fa5-b054-f5178202ccc1}" ma:internalName="TaxCatchAll" ma:showField="CatchAllData" ma:web="465a9cbd-dd0c-498a-a997-b2ae02631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7681D-39F5-4C55-8FA9-35DC96C0C076}">
  <ds:schemaRefs>
    <ds:schemaRef ds:uri="http://purl.org/dc/elements/1.1/"/>
    <ds:schemaRef ds:uri="8f4d6b98-d4d9-4133-8f1b-61f9439e4102"/>
    <ds:schemaRef ds:uri="http://schemas.microsoft.com/office/2006/metadata/properties"/>
    <ds:schemaRef ds:uri="4dffdc0c-702d-4a99-8812-9423c60d30b0"/>
    <ds:schemaRef ds:uri="2e077d43-7c3c-4e51-91cd-36695594283c"/>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65a9cbd-dd0c-498a-a997-b2ae026318a0"/>
    <ds:schemaRef ds:uri="http://purl.org/dc/dcmitype/"/>
    <ds:schemaRef ds:uri="http://purl.org/dc/terms/"/>
  </ds:schemaRefs>
</ds:datastoreItem>
</file>

<file path=customXml/itemProps2.xml><?xml version="1.0" encoding="utf-8"?>
<ds:datastoreItem xmlns:ds="http://schemas.openxmlformats.org/officeDocument/2006/customXml" ds:itemID="{213049F2-3117-420F-8B72-B960AC83087A}">
  <ds:schemaRefs>
    <ds:schemaRef ds:uri="http://schemas.openxmlformats.org/officeDocument/2006/bibliography"/>
  </ds:schemaRefs>
</ds:datastoreItem>
</file>

<file path=customXml/itemProps3.xml><?xml version="1.0" encoding="utf-8"?>
<ds:datastoreItem xmlns:ds="http://schemas.openxmlformats.org/officeDocument/2006/customXml" ds:itemID="{F0EE45E8-25F4-4AF4-8D65-38A7DCF1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7d43-7c3c-4e51-91cd-36695594283c"/>
    <ds:schemaRef ds:uri="8f4d6b98-d4d9-4133-8f1b-61f9439e4102"/>
    <ds:schemaRef ds:uri="4dffdc0c-702d-4a99-8812-9423c60d30b0"/>
    <ds:schemaRef ds:uri="465a9cbd-dd0c-498a-a997-b2ae02631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B5949-2FAF-4B5C-8CBF-1CF768FC7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978</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Network Housing Group</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Andrea Lewis</cp:lastModifiedBy>
  <cp:revision>13</cp:revision>
  <cp:lastPrinted>2019-09-13T11:18:00Z</cp:lastPrinted>
  <dcterms:created xsi:type="dcterms:W3CDTF">2025-04-24T11:11:00Z</dcterms:created>
  <dcterms:modified xsi:type="dcterms:W3CDTF">2025-04-24T11:46:00Z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0x010100F378503A44D9B244ABA860FA6D37B184</vt:lpwstr>
  </property>
  <property fmtid="{D5CDD505-2E9C-101B-9397-08002B2CF9AE}" pid="3" name="MediaServiceImageTags">
    <vt:lpwstr/>
  </property>
</Properties>
</file>